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CEB8" w14:textId="77777777" w:rsidR="0088436E" w:rsidRPr="003D33E4" w:rsidRDefault="0088436E" w:rsidP="003D33E4">
      <w:pPr>
        <w:widowControl w:val="0"/>
        <w:jc w:val="center"/>
        <w:rPr>
          <w:b/>
          <w:sz w:val="28"/>
          <w:szCs w:val="28"/>
        </w:rPr>
      </w:pPr>
      <w:r w:rsidRPr="003D33E4">
        <w:rPr>
          <w:b/>
          <w:sz w:val="28"/>
          <w:szCs w:val="28"/>
        </w:rPr>
        <w:t>ВІДГУК</w:t>
      </w:r>
    </w:p>
    <w:p w14:paraId="5E135291" w14:textId="77777777" w:rsidR="00B21AD6" w:rsidRPr="003D33E4" w:rsidRDefault="0088436E" w:rsidP="003D33E4">
      <w:pPr>
        <w:jc w:val="center"/>
        <w:rPr>
          <w:b/>
          <w:sz w:val="28"/>
          <w:szCs w:val="28"/>
        </w:rPr>
      </w:pPr>
      <w:r w:rsidRPr="003D33E4">
        <w:rPr>
          <w:b/>
          <w:sz w:val="28"/>
          <w:szCs w:val="28"/>
        </w:rPr>
        <w:t xml:space="preserve">офіційного опонента доктора сільськогосподарських наук, професора, завідувача кафедри землеробства, ґрунтознавства та захисту рослин </w:t>
      </w:r>
    </w:p>
    <w:p w14:paraId="265369D5" w14:textId="77777777" w:rsidR="0088436E" w:rsidRPr="003D33E4" w:rsidRDefault="00A71A81" w:rsidP="003D33E4">
      <w:pPr>
        <w:jc w:val="center"/>
        <w:rPr>
          <w:b/>
          <w:sz w:val="28"/>
          <w:szCs w:val="28"/>
        </w:rPr>
      </w:pPr>
      <w:r w:rsidRPr="003D33E4">
        <w:rPr>
          <w:b/>
          <w:sz w:val="28"/>
          <w:szCs w:val="28"/>
        </w:rPr>
        <w:t>З</w:t>
      </w:r>
      <w:r w:rsidR="0088436E" w:rsidRPr="003D33E4">
        <w:rPr>
          <w:b/>
          <w:sz w:val="28"/>
          <w:szCs w:val="28"/>
        </w:rPr>
        <w:t>акладу вищої освіти «Подільський державний університет»</w:t>
      </w:r>
    </w:p>
    <w:p w14:paraId="690FCC18" w14:textId="77777777" w:rsidR="0088436E" w:rsidRPr="003D33E4" w:rsidRDefault="0088436E" w:rsidP="003D33E4">
      <w:pPr>
        <w:jc w:val="center"/>
        <w:rPr>
          <w:b/>
          <w:sz w:val="28"/>
          <w:szCs w:val="28"/>
        </w:rPr>
      </w:pPr>
      <w:proofErr w:type="spellStart"/>
      <w:r w:rsidRPr="003D33E4">
        <w:rPr>
          <w:b/>
          <w:sz w:val="28"/>
          <w:szCs w:val="28"/>
        </w:rPr>
        <w:t>Чинчика</w:t>
      </w:r>
      <w:proofErr w:type="spellEnd"/>
      <w:r w:rsidRPr="003D33E4">
        <w:rPr>
          <w:b/>
          <w:sz w:val="28"/>
          <w:szCs w:val="28"/>
        </w:rPr>
        <w:t xml:space="preserve"> Олександра Сергійовича</w:t>
      </w:r>
    </w:p>
    <w:p w14:paraId="1E15AC02" w14:textId="77777777" w:rsidR="0088436E" w:rsidRPr="003D33E4" w:rsidRDefault="0088436E" w:rsidP="00366279">
      <w:pPr>
        <w:widowControl w:val="0"/>
        <w:ind w:firstLine="709"/>
        <w:jc w:val="center"/>
        <w:rPr>
          <w:b/>
          <w:sz w:val="28"/>
          <w:szCs w:val="28"/>
        </w:rPr>
      </w:pPr>
      <w:r w:rsidRPr="003D33E4">
        <w:rPr>
          <w:b/>
          <w:sz w:val="28"/>
          <w:szCs w:val="28"/>
        </w:rPr>
        <w:t>на дисертаційну роботу Шевчук Вікторії Вікторівни на тему: «Формування урожайності та якості зерна сортів гороху озимого залежно від елементів системи удобрення та передпосівної обробки насіння в умовах Лісостепу правобережного», поданої на здобуття наукового ступеня доктора філософії за спеціальністю 201 Агрономія, галузі знань 20 Аграрні науки та продовольство</w:t>
      </w:r>
    </w:p>
    <w:p w14:paraId="407482CC" w14:textId="77777777" w:rsidR="007F4A5C" w:rsidRPr="003D33E4" w:rsidRDefault="007F4A5C" w:rsidP="003D33E4">
      <w:pPr>
        <w:pStyle w:val="a3"/>
        <w:widowControl w:val="0"/>
        <w:ind w:left="0" w:firstLine="851"/>
        <w:jc w:val="both"/>
        <w:rPr>
          <w:b/>
          <w:sz w:val="28"/>
          <w:szCs w:val="28"/>
        </w:rPr>
      </w:pPr>
    </w:p>
    <w:p w14:paraId="50CA9D2E" w14:textId="77777777" w:rsidR="001C198B" w:rsidRPr="0060318E" w:rsidRDefault="007F4A5C" w:rsidP="00AF1BA7">
      <w:pPr>
        <w:widowControl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60318E">
        <w:rPr>
          <w:rStyle w:val="fontstyle01"/>
          <w:rFonts w:ascii="Times New Roman" w:hAnsi="Times New Roman"/>
          <w:color w:val="auto"/>
        </w:rPr>
        <w:t xml:space="preserve">Актуальність теми дисертації. </w:t>
      </w:r>
      <w:r w:rsidR="00F77277" w:rsidRPr="0060318E">
        <w:rPr>
          <w:rStyle w:val="fontstyle01"/>
          <w:rFonts w:ascii="Times New Roman" w:hAnsi="Times New Roman"/>
          <w:b w:val="0"/>
          <w:color w:val="auto"/>
        </w:rPr>
        <w:t>Озимий горох є перспективно</w:t>
      </w:r>
      <w:r w:rsidR="0091010D" w:rsidRPr="0060318E">
        <w:rPr>
          <w:rStyle w:val="fontstyle01"/>
          <w:rFonts w:ascii="Times New Roman" w:hAnsi="Times New Roman"/>
          <w:b w:val="0"/>
          <w:color w:val="auto"/>
        </w:rPr>
        <w:t>ю</w:t>
      </w:r>
      <w:r w:rsidR="00F77277" w:rsidRPr="0060318E">
        <w:rPr>
          <w:rStyle w:val="fontstyle01"/>
          <w:rFonts w:ascii="Times New Roman" w:hAnsi="Times New Roman"/>
          <w:b w:val="0"/>
          <w:color w:val="auto"/>
        </w:rPr>
        <w:t xml:space="preserve"> зернобобовою культурою</w:t>
      </w:r>
      <w:r w:rsidR="0091010D" w:rsidRPr="0060318E">
        <w:rPr>
          <w:rStyle w:val="fontstyle01"/>
          <w:rFonts w:ascii="Times New Roman" w:hAnsi="Times New Roman"/>
          <w:b w:val="0"/>
          <w:color w:val="auto"/>
        </w:rPr>
        <w:t>,</w:t>
      </w:r>
      <w:r w:rsidR="00F77277" w:rsidRPr="0060318E">
        <w:rPr>
          <w:rStyle w:val="fontstyle01"/>
          <w:rFonts w:ascii="Times New Roman" w:hAnsi="Times New Roman"/>
          <w:b w:val="0"/>
          <w:color w:val="auto"/>
        </w:rPr>
        <w:t xml:space="preserve"> особливо з </w:t>
      </w:r>
      <w:r w:rsidR="008904DB" w:rsidRPr="0060318E">
        <w:rPr>
          <w:rStyle w:val="fontstyle01"/>
          <w:rFonts w:ascii="Times New Roman" w:hAnsi="Times New Roman"/>
          <w:b w:val="0"/>
          <w:color w:val="auto"/>
        </w:rPr>
        <w:t>у</w:t>
      </w:r>
      <w:r w:rsidR="00F77277" w:rsidRPr="0060318E">
        <w:rPr>
          <w:rStyle w:val="fontstyle01"/>
          <w:rFonts w:ascii="Times New Roman" w:hAnsi="Times New Roman"/>
          <w:b w:val="0"/>
          <w:color w:val="auto"/>
        </w:rPr>
        <w:t>рахуванням сучасних проблем змін клімату</w:t>
      </w:r>
      <w:r w:rsidR="00F77277" w:rsidRPr="0060318E">
        <w:rPr>
          <w:sz w:val="28"/>
        </w:rPr>
        <w:t>. Оптимізація системи удобрення та різних варіантів передпосівної обробки насіння сп</w:t>
      </w:r>
      <w:r w:rsidR="008904DB" w:rsidRPr="0060318E">
        <w:rPr>
          <w:sz w:val="28"/>
        </w:rPr>
        <w:t>р</w:t>
      </w:r>
      <w:r w:rsidR="00F77277" w:rsidRPr="0060318E">
        <w:rPr>
          <w:sz w:val="28"/>
        </w:rPr>
        <w:t>и</w:t>
      </w:r>
      <w:r w:rsidR="008904DB" w:rsidRPr="0060318E">
        <w:rPr>
          <w:sz w:val="28"/>
        </w:rPr>
        <w:t>я</w:t>
      </w:r>
      <w:r w:rsidR="00F77277" w:rsidRPr="0060318E">
        <w:rPr>
          <w:sz w:val="28"/>
        </w:rPr>
        <w:t>ют</w:t>
      </w:r>
      <w:r w:rsidR="001C198B" w:rsidRPr="0060318E">
        <w:rPr>
          <w:sz w:val="28"/>
        </w:rPr>
        <w:t>ь</w:t>
      </w:r>
      <w:r w:rsidR="00F77277" w:rsidRPr="0060318E">
        <w:rPr>
          <w:sz w:val="28"/>
        </w:rPr>
        <w:t xml:space="preserve"> покращенню урожайності та якості насіння гороху озимого, тому</w:t>
      </w:r>
      <w:r w:rsidR="008904DB" w:rsidRPr="0060318E">
        <w:rPr>
          <w:sz w:val="28"/>
        </w:rPr>
        <w:t xml:space="preserve"> є</w:t>
      </w:r>
      <w:r w:rsidR="0099781A" w:rsidRPr="0060318E">
        <w:rPr>
          <w:sz w:val="28"/>
        </w:rPr>
        <w:t xml:space="preserve"> </w:t>
      </w:r>
      <w:r w:rsidR="001C198B" w:rsidRPr="0060318E">
        <w:rPr>
          <w:sz w:val="28"/>
        </w:rPr>
        <w:t>важливим</w:t>
      </w:r>
      <w:r w:rsidR="00F77277" w:rsidRPr="0060318E">
        <w:rPr>
          <w:sz w:val="28"/>
        </w:rPr>
        <w:t>и напрямка</w:t>
      </w:r>
      <w:r w:rsidR="001C198B" w:rsidRPr="0060318E">
        <w:rPr>
          <w:sz w:val="28"/>
        </w:rPr>
        <w:t>м</w:t>
      </w:r>
      <w:r w:rsidR="00F77277" w:rsidRPr="0060318E">
        <w:rPr>
          <w:sz w:val="28"/>
        </w:rPr>
        <w:t>и</w:t>
      </w:r>
      <w:r w:rsidR="001C198B" w:rsidRPr="0060318E">
        <w:rPr>
          <w:sz w:val="28"/>
        </w:rPr>
        <w:t xml:space="preserve"> досліджень.</w:t>
      </w:r>
    </w:p>
    <w:p w14:paraId="07FCDC16" w14:textId="77777777" w:rsidR="00B203DB" w:rsidRPr="0060318E" w:rsidRDefault="00821E9F" w:rsidP="00AF1BA7">
      <w:pPr>
        <w:widowControl w:val="0"/>
        <w:spacing w:line="276" w:lineRule="auto"/>
        <w:ind w:firstLine="709"/>
        <w:jc w:val="both"/>
        <w:rPr>
          <w:sz w:val="28"/>
        </w:rPr>
      </w:pPr>
      <w:r w:rsidRPr="0060318E">
        <w:rPr>
          <w:sz w:val="28"/>
        </w:rPr>
        <w:t xml:space="preserve">Перш за все, розуміння </w:t>
      </w:r>
      <w:r w:rsidR="008904DB" w:rsidRPr="0060318E">
        <w:rPr>
          <w:sz w:val="28"/>
        </w:rPr>
        <w:t xml:space="preserve">і </w:t>
      </w:r>
      <w:r w:rsidRPr="0060318E">
        <w:rPr>
          <w:sz w:val="28"/>
        </w:rPr>
        <w:t xml:space="preserve">врахування впливу системи удобрень та передпосівної обробки на урожайність </w:t>
      </w:r>
      <w:r w:rsidR="008904DB" w:rsidRPr="0060318E">
        <w:rPr>
          <w:sz w:val="28"/>
        </w:rPr>
        <w:t xml:space="preserve">і </w:t>
      </w:r>
      <w:r w:rsidRPr="0060318E">
        <w:rPr>
          <w:sz w:val="28"/>
        </w:rPr>
        <w:t>якість зерна гороху озимого допомагає сільськогосподарським виробникам максимізувати виробничі показники</w:t>
      </w:r>
      <w:r w:rsidR="00B203DB" w:rsidRPr="0060318E">
        <w:rPr>
          <w:sz w:val="28"/>
        </w:rPr>
        <w:t xml:space="preserve"> та зменшити негативний вплив на навколишнє середовище</w:t>
      </w:r>
      <w:r w:rsidRPr="0060318E">
        <w:rPr>
          <w:sz w:val="28"/>
        </w:rPr>
        <w:t xml:space="preserve">. </w:t>
      </w:r>
    </w:p>
    <w:p w14:paraId="0A93DA76" w14:textId="77777777" w:rsidR="00821E9F" w:rsidRPr="0060318E" w:rsidRDefault="00821E9F" w:rsidP="00AF1BA7">
      <w:pPr>
        <w:widowControl w:val="0"/>
        <w:spacing w:line="276" w:lineRule="auto"/>
        <w:ind w:firstLine="709"/>
        <w:jc w:val="both"/>
        <w:rPr>
          <w:sz w:val="28"/>
        </w:rPr>
      </w:pPr>
      <w:r w:rsidRPr="0060318E">
        <w:rPr>
          <w:sz w:val="28"/>
        </w:rPr>
        <w:t>Нестандартні тенденції зміни ринку добрив та аграр</w:t>
      </w:r>
      <w:r w:rsidR="003F27F2" w:rsidRPr="0060318E">
        <w:rPr>
          <w:sz w:val="28"/>
        </w:rPr>
        <w:t>них технологій також впливають н</w:t>
      </w:r>
      <w:r w:rsidRPr="0060318E">
        <w:rPr>
          <w:sz w:val="28"/>
        </w:rPr>
        <w:t>а актуальність даної теми. Наприклад, зниження доступності деяких видів добрив</w:t>
      </w:r>
      <w:r w:rsidR="003F27F2" w:rsidRPr="0060318E">
        <w:rPr>
          <w:sz w:val="28"/>
        </w:rPr>
        <w:t>, їх ціна</w:t>
      </w:r>
      <w:r w:rsidRPr="0060318E">
        <w:rPr>
          <w:sz w:val="28"/>
        </w:rPr>
        <w:t xml:space="preserve"> або зміна звичайних норм внесення можуть </w:t>
      </w:r>
      <w:r w:rsidR="003F27F2" w:rsidRPr="0060318E">
        <w:rPr>
          <w:sz w:val="28"/>
        </w:rPr>
        <w:t xml:space="preserve">суттєво </w:t>
      </w:r>
      <w:r w:rsidRPr="0060318E">
        <w:rPr>
          <w:sz w:val="28"/>
        </w:rPr>
        <w:t>вплинути на</w:t>
      </w:r>
      <w:r w:rsidR="003F27F2" w:rsidRPr="0060318E">
        <w:rPr>
          <w:sz w:val="28"/>
        </w:rPr>
        <w:t xml:space="preserve"> собівартість вирощуваної продукції.</w:t>
      </w:r>
    </w:p>
    <w:p w14:paraId="6530A99F" w14:textId="77777777" w:rsidR="001C198B" w:rsidRPr="0060318E" w:rsidRDefault="00821E9F" w:rsidP="00AF1BA7">
      <w:pPr>
        <w:widowControl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60318E">
        <w:rPr>
          <w:sz w:val="28"/>
        </w:rPr>
        <w:t xml:space="preserve">Дослідження в даній галузі надають можливість визначити оптимальні технології та елементи системи удобрень, що дозволяють забезпечити економічно ефективне вирощування гороху озимого. Крім того, формування урожайності та якості зерна гороху озимого є важливим аспектом сталого розвитку сільського господарства. </w:t>
      </w:r>
    </w:p>
    <w:p w14:paraId="16E820EA" w14:textId="77777777" w:rsidR="001C198B" w:rsidRPr="0060318E" w:rsidRDefault="00821E9F" w:rsidP="00AF1BA7">
      <w:pPr>
        <w:widowControl w:val="0"/>
        <w:spacing w:line="276" w:lineRule="auto"/>
        <w:ind w:firstLine="709"/>
        <w:jc w:val="both"/>
        <w:rPr>
          <w:rStyle w:val="fontstyle01"/>
          <w:rFonts w:ascii="Times New Roman" w:hAnsi="Times New Roman"/>
          <w:color w:val="auto"/>
        </w:rPr>
      </w:pPr>
      <w:r w:rsidRPr="0060318E">
        <w:rPr>
          <w:sz w:val="28"/>
        </w:rPr>
        <w:t>Додаткові дослідження в цьому напрямі можуть сприяти розробці більш ефективних та стійких у вирощуванні гороху озимого систем підживлення, що допоможе збільшити урожайність та покращити стійкість рослин до змін кліматичних умов.</w:t>
      </w:r>
    </w:p>
    <w:p w14:paraId="624376EA" w14:textId="77777777" w:rsidR="007F4A5C" w:rsidRPr="0060318E" w:rsidRDefault="007F4A5C" w:rsidP="00A03958">
      <w:pPr>
        <w:widowControl w:val="0"/>
        <w:spacing w:line="276" w:lineRule="auto"/>
        <w:ind w:firstLine="709"/>
        <w:jc w:val="both"/>
        <w:rPr>
          <w:color w:val="FF66CC"/>
          <w:sz w:val="28"/>
          <w:szCs w:val="28"/>
        </w:rPr>
      </w:pPr>
      <w:r w:rsidRPr="0060318E">
        <w:rPr>
          <w:b/>
          <w:sz w:val="28"/>
          <w:szCs w:val="28"/>
        </w:rPr>
        <w:t xml:space="preserve">Зв’язок </w:t>
      </w:r>
      <w:r w:rsidR="007C5CA6" w:rsidRPr="0060318E">
        <w:rPr>
          <w:b/>
          <w:sz w:val="28"/>
          <w:szCs w:val="28"/>
        </w:rPr>
        <w:t xml:space="preserve">теми дисертації </w:t>
      </w:r>
      <w:r w:rsidRPr="0060318E">
        <w:rPr>
          <w:b/>
          <w:sz w:val="28"/>
          <w:szCs w:val="28"/>
        </w:rPr>
        <w:t>з</w:t>
      </w:r>
      <w:r w:rsidR="007C5CA6" w:rsidRPr="0060318E">
        <w:rPr>
          <w:b/>
          <w:sz w:val="28"/>
          <w:szCs w:val="28"/>
        </w:rPr>
        <w:t xml:space="preserve"> науковими програмами, планами та</w:t>
      </w:r>
      <w:r w:rsidR="0099781A" w:rsidRPr="0060318E">
        <w:rPr>
          <w:b/>
          <w:sz w:val="28"/>
          <w:szCs w:val="28"/>
        </w:rPr>
        <w:t xml:space="preserve"> </w:t>
      </w:r>
      <w:r w:rsidRPr="0060318E">
        <w:rPr>
          <w:b/>
          <w:sz w:val="28"/>
          <w:szCs w:val="28"/>
        </w:rPr>
        <w:t>темами</w:t>
      </w:r>
      <w:r w:rsidR="007C5CA6" w:rsidRPr="0060318E">
        <w:rPr>
          <w:b/>
          <w:sz w:val="28"/>
          <w:szCs w:val="28"/>
        </w:rPr>
        <w:t xml:space="preserve"> університету та кафедр</w:t>
      </w:r>
      <w:r w:rsidRPr="0060318E">
        <w:rPr>
          <w:b/>
          <w:sz w:val="28"/>
          <w:szCs w:val="28"/>
        </w:rPr>
        <w:t>.</w:t>
      </w:r>
      <w:r w:rsidR="0099781A" w:rsidRPr="0060318E">
        <w:rPr>
          <w:b/>
          <w:sz w:val="28"/>
          <w:szCs w:val="28"/>
        </w:rPr>
        <w:t xml:space="preserve"> </w:t>
      </w:r>
      <w:r w:rsidR="00B046FC" w:rsidRPr="0060318E">
        <w:rPr>
          <w:sz w:val="28"/>
          <w:szCs w:val="28"/>
        </w:rPr>
        <w:t xml:space="preserve">Дисертаційна робота є результатом досліджень, виконаних автором упродовж </w:t>
      </w:r>
      <w:r w:rsidR="001F78FC" w:rsidRPr="0060318E">
        <w:rPr>
          <w:sz w:val="28"/>
          <w:szCs w:val="28"/>
        </w:rPr>
        <w:t>2019</w:t>
      </w:r>
      <w:r w:rsidR="0064699F">
        <w:rPr>
          <w:sz w:val="28"/>
          <w:szCs w:val="28"/>
        </w:rPr>
        <w:t>-</w:t>
      </w:r>
      <w:r w:rsidR="001F78FC" w:rsidRPr="0060318E">
        <w:rPr>
          <w:sz w:val="28"/>
          <w:szCs w:val="28"/>
        </w:rPr>
        <w:t>2023</w:t>
      </w:r>
      <w:r w:rsidR="0099781A" w:rsidRPr="0060318E">
        <w:rPr>
          <w:sz w:val="28"/>
          <w:szCs w:val="28"/>
        </w:rPr>
        <w:t xml:space="preserve"> </w:t>
      </w:r>
      <w:r w:rsidR="00B046FC" w:rsidRPr="0060318E">
        <w:rPr>
          <w:sz w:val="28"/>
          <w:szCs w:val="28"/>
        </w:rPr>
        <w:t xml:space="preserve">років, що була складовою </w:t>
      </w:r>
      <w:proofErr w:type="spellStart"/>
      <w:r w:rsidR="00B046FC" w:rsidRPr="0060318E">
        <w:rPr>
          <w:sz w:val="28"/>
          <w:szCs w:val="28"/>
        </w:rPr>
        <w:t>тематик</w:t>
      </w:r>
      <w:proofErr w:type="spellEnd"/>
      <w:r w:rsidR="00B046FC" w:rsidRPr="0060318E">
        <w:rPr>
          <w:sz w:val="28"/>
          <w:szCs w:val="28"/>
        </w:rPr>
        <w:t xml:space="preserve"> наукових досліджень Вінницького національного аграрного університету: «Удосконалення елементів технології вирощування зернових та зернобобових культур в умовах Лісостепу Правобережного» </w:t>
      </w:r>
      <w:r w:rsidR="00B046FC" w:rsidRPr="0060318E">
        <w:rPr>
          <w:sz w:val="28"/>
          <w:szCs w:val="28"/>
        </w:rPr>
        <w:lastRenderedPageBreak/>
        <w:t>(номер державної реєстрації 0117U004702, термін виконання 2017–2021 рр.) та «Оптимізація адаптивних технологій вирощування зернобобо</w:t>
      </w:r>
      <w:r w:rsidR="001F78FC" w:rsidRPr="0060318E">
        <w:rPr>
          <w:sz w:val="28"/>
          <w:szCs w:val="28"/>
        </w:rPr>
        <w:t>вих культур в умовах Лісостепу п</w:t>
      </w:r>
      <w:r w:rsidR="00B046FC" w:rsidRPr="0060318E">
        <w:rPr>
          <w:sz w:val="28"/>
          <w:szCs w:val="28"/>
        </w:rPr>
        <w:t>равобережного» (номер державної реєстрації 0121U114603, термін виконання 2021–202</w:t>
      </w:r>
      <w:r w:rsidR="001F78FC" w:rsidRPr="0060318E">
        <w:rPr>
          <w:sz w:val="28"/>
          <w:szCs w:val="28"/>
        </w:rPr>
        <w:t>4</w:t>
      </w:r>
      <w:r w:rsidR="00B046FC" w:rsidRPr="0060318E">
        <w:rPr>
          <w:sz w:val="28"/>
          <w:szCs w:val="28"/>
        </w:rPr>
        <w:t xml:space="preserve"> рр.), де автором визначено </w:t>
      </w:r>
      <w:r w:rsidR="00B046FC" w:rsidRPr="0060318E">
        <w:rPr>
          <w:color w:val="000000" w:themeColor="text1"/>
          <w:sz w:val="28"/>
          <w:szCs w:val="28"/>
        </w:rPr>
        <w:t xml:space="preserve">ефективність застосування передпосівної обробки насіння </w:t>
      </w:r>
      <w:proofErr w:type="spellStart"/>
      <w:r w:rsidR="00B046FC" w:rsidRPr="0060318E">
        <w:rPr>
          <w:color w:val="000000" w:themeColor="text1"/>
          <w:sz w:val="28"/>
          <w:szCs w:val="28"/>
        </w:rPr>
        <w:t>рістрегулюючим</w:t>
      </w:r>
      <w:proofErr w:type="spellEnd"/>
      <w:r w:rsidR="00B046FC" w:rsidRPr="0060318E">
        <w:rPr>
          <w:color w:val="000000" w:themeColor="text1"/>
          <w:sz w:val="28"/>
          <w:szCs w:val="28"/>
        </w:rPr>
        <w:t xml:space="preserve"> та бактеріальним препаратами, їх комплексного застосування</w:t>
      </w:r>
      <w:r w:rsidR="00B046FC" w:rsidRPr="0060318E">
        <w:rPr>
          <w:sz w:val="28"/>
          <w:szCs w:val="28"/>
        </w:rPr>
        <w:t xml:space="preserve"> та проведення позакореневих підживлень мікродобривами на ростові процеси, продуктивність сортів гороху озимого та якість їх зерна; оптимізовано технологічний процес із використанням запропонованих агрозаходів.</w:t>
      </w:r>
    </w:p>
    <w:p w14:paraId="5135DAE7" w14:textId="77777777" w:rsidR="005319DC" w:rsidRPr="0060318E" w:rsidRDefault="00E12DE8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rFonts w:eastAsia="Calibri"/>
          <w:b/>
          <w:bCs/>
          <w:sz w:val="28"/>
          <w:szCs w:val="28"/>
          <w:lang w:eastAsia="en-US"/>
        </w:rPr>
        <w:t>Мета і завдання досліджень.</w:t>
      </w:r>
      <w:r w:rsidR="0099781A" w:rsidRPr="0060318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162AA" w:rsidRPr="0060318E">
        <w:rPr>
          <w:sz w:val="28"/>
          <w:szCs w:val="28"/>
        </w:rPr>
        <w:t xml:space="preserve">Метою досліджень було з’ясувати </w:t>
      </w:r>
      <w:r w:rsidR="005319DC" w:rsidRPr="0060318E">
        <w:rPr>
          <w:sz w:val="28"/>
          <w:szCs w:val="28"/>
        </w:rPr>
        <w:t xml:space="preserve">вплив передпосівної обробки насіння </w:t>
      </w:r>
      <w:proofErr w:type="spellStart"/>
      <w:r w:rsidR="005319DC" w:rsidRPr="0060318E">
        <w:rPr>
          <w:sz w:val="28"/>
          <w:szCs w:val="28"/>
        </w:rPr>
        <w:t>рістрегулюючим</w:t>
      </w:r>
      <w:proofErr w:type="spellEnd"/>
      <w:r w:rsidR="005319DC" w:rsidRPr="0060318E">
        <w:rPr>
          <w:sz w:val="28"/>
          <w:szCs w:val="28"/>
        </w:rPr>
        <w:t xml:space="preserve"> препаратом,</w:t>
      </w:r>
      <w:r w:rsidR="00C162AA" w:rsidRPr="0060318E">
        <w:rPr>
          <w:sz w:val="28"/>
          <w:szCs w:val="28"/>
        </w:rPr>
        <w:t xml:space="preserve"> </w:t>
      </w:r>
      <w:proofErr w:type="spellStart"/>
      <w:r w:rsidR="00C162AA" w:rsidRPr="0060318E">
        <w:rPr>
          <w:sz w:val="28"/>
          <w:szCs w:val="28"/>
        </w:rPr>
        <w:t>інокулянтом</w:t>
      </w:r>
      <w:proofErr w:type="spellEnd"/>
      <w:r w:rsidR="00C162AA" w:rsidRPr="0060318E">
        <w:rPr>
          <w:sz w:val="28"/>
          <w:szCs w:val="28"/>
        </w:rPr>
        <w:t xml:space="preserve">, їх комплексного </w:t>
      </w:r>
      <w:r w:rsidR="005319DC" w:rsidRPr="0060318E">
        <w:rPr>
          <w:sz w:val="28"/>
          <w:szCs w:val="28"/>
        </w:rPr>
        <w:t>застосування з фоном удобрення N</w:t>
      </w:r>
      <w:r w:rsidR="005319DC" w:rsidRPr="0060318E">
        <w:rPr>
          <w:sz w:val="28"/>
          <w:szCs w:val="28"/>
          <w:vertAlign w:val="subscript"/>
        </w:rPr>
        <w:t>45</w:t>
      </w:r>
      <w:r w:rsidR="005319DC" w:rsidRPr="0060318E">
        <w:rPr>
          <w:sz w:val="28"/>
          <w:szCs w:val="28"/>
        </w:rPr>
        <w:t>P</w:t>
      </w:r>
      <w:r w:rsidR="005319DC" w:rsidRPr="0060318E">
        <w:rPr>
          <w:sz w:val="28"/>
          <w:szCs w:val="28"/>
          <w:vertAlign w:val="subscript"/>
        </w:rPr>
        <w:t>45</w:t>
      </w:r>
      <w:r w:rsidR="005319DC" w:rsidRPr="0060318E">
        <w:rPr>
          <w:sz w:val="28"/>
          <w:szCs w:val="28"/>
        </w:rPr>
        <w:t>K</w:t>
      </w:r>
      <w:r w:rsidR="005319DC" w:rsidRPr="0060318E">
        <w:rPr>
          <w:sz w:val="28"/>
          <w:szCs w:val="28"/>
          <w:vertAlign w:val="subscript"/>
        </w:rPr>
        <w:t>45</w:t>
      </w:r>
      <w:r w:rsidR="005319DC" w:rsidRPr="0060318E">
        <w:rPr>
          <w:sz w:val="28"/>
          <w:szCs w:val="28"/>
        </w:rPr>
        <w:t xml:space="preserve"> та дію</w:t>
      </w:r>
      <w:r w:rsidR="0099781A" w:rsidRPr="0060318E">
        <w:rPr>
          <w:sz w:val="28"/>
          <w:szCs w:val="28"/>
        </w:rPr>
        <w:t xml:space="preserve"> </w:t>
      </w:r>
      <w:r w:rsidR="005319DC" w:rsidRPr="0060318E">
        <w:rPr>
          <w:sz w:val="28"/>
          <w:szCs w:val="28"/>
        </w:rPr>
        <w:t xml:space="preserve">позакореневих підживлень на тривалість </w:t>
      </w:r>
      <w:r w:rsidR="00C162AA" w:rsidRPr="0060318E">
        <w:rPr>
          <w:sz w:val="28"/>
          <w:szCs w:val="28"/>
        </w:rPr>
        <w:t xml:space="preserve">вегетаційних періодів, </w:t>
      </w:r>
      <w:r w:rsidR="005319DC" w:rsidRPr="0060318E">
        <w:rPr>
          <w:sz w:val="28"/>
          <w:szCs w:val="28"/>
        </w:rPr>
        <w:t>проходження деяких фізіолого-біохімічних</w:t>
      </w:r>
      <w:r w:rsidR="00C162AA" w:rsidRPr="0060318E">
        <w:rPr>
          <w:sz w:val="28"/>
          <w:szCs w:val="28"/>
        </w:rPr>
        <w:t xml:space="preserve"> процесів, особливостей росту й </w:t>
      </w:r>
      <w:r w:rsidR="005319DC" w:rsidRPr="0060318E">
        <w:rPr>
          <w:sz w:val="28"/>
          <w:szCs w:val="28"/>
        </w:rPr>
        <w:t>розвитку, формування елементів продукти</w:t>
      </w:r>
      <w:r w:rsidR="00C162AA" w:rsidRPr="0060318E">
        <w:rPr>
          <w:sz w:val="28"/>
          <w:szCs w:val="28"/>
        </w:rPr>
        <w:t>вності та якості насіння сорт</w:t>
      </w:r>
      <w:r w:rsidR="0099781A" w:rsidRPr="0060318E">
        <w:rPr>
          <w:sz w:val="28"/>
          <w:szCs w:val="28"/>
        </w:rPr>
        <w:t>і</w:t>
      </w:r>
      <w:r w:rsidR="00C162AA" w:rsidRPr="0060318E">
        <w:rPr>
          <w:sz w:val="28"/>
          <w:szCs w:val="28"/>
        </w:rPr>
        <w:t xml:space="preserve">в </w:t>
      </w:r>
      <w:r w:rsidR="005319DC" w:rsidRPr="0060318E">
        <w:rPr>
          <w:sz w:val="28"/>
          <w:szCs w:val="28"/>
        </w:rPr>
        <w:t>гороху озимого НС Мор</w:t>
      </w:r>
      <w:r w:rsidR="001F78FC" w:rsidRPr="0060318E">
        <w:rPr>
          <w:sz w:val="28"/>
          <w:szCs w:val="28"/>
        </w:rPr>
        <w:t xml:space="preserve">оз і </w:t>
      </w:r>
      <w:proofErr w:type="spellStart"/>
      <w:r w:rsidR="001F78FC" w:rsidRPr="0060318E">
        <w:rPr>
          <w:sz w:val="28"/>
          <w:szCs w:val="28"/>
        </w:rPr>
        <w:t>Ендуро</w:t>
      </w:r>
      <w:proofErr w:type="spellEnd"/>
      <w:r w:rsidR="001F78FC" w:rsidRPr="0060318E">
        <w:rPr>
          <w:sz w:val="28"/>
          <w:szCs w:val="28"/>
        </w:rPr>
        <w:t xml:space="preserve"> в умовах Лісостепу п</w:t>
      </w:r>
      <w:r w:rsidR="005319DC" w:rsidRPr="0060318E">
        <w:rPr>
          <w:sz w:val="28"/>
          <w:szCs w:val="28"/>
        </w:rPr>
        <w:t>равобережного.</w:t>
      </w:r>
    </w:p>
    <w:p w14:paraId="1A1BBF57" w14:textId="77777777" w:rsidR="00E12DE8" w:rsidRPr="0060318E" w:rsidRDefault="00E12DE8" w:rsidP="00AF1BA7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b/>
          <w:sz w:val="28"/>
          <w:szCs w:val="28"/>
          <w:lang w:eastAsia="en-US"/>
        </w:rPr>
        <w:t>Завдання досліджень</w:t>
      </w:r>
      <w:r w:rsidR="0099781A" w:rsidRPr="0060318E">
        <w:rPr>
          <w:rFonts w:eastAsia="Calibri"/>
          <w:b/>
          <w:sz w:val="28"/>
          <w:szCs w:val="28"/>
          <w:lang w:eastAsia="en-US"/>
        </w:rPr>
        <w:t xml:space="preserve"> </w:t>
      </w:r>
      <w:r w:rsidRPr="0060318E">
        <w:rPr>
          <w:rFonts w:eastAsia="Calibri"/>
          <w:b/>
          <w:bCs/>
          <w:sz w:val="28"/>
          <w:szCs w:val="28"/>
          <w:lang w:eastAsia="en-US"/>
        </w:rPr>
        <w:t>передбачали</w:t>
      </w:r>
      <w:r w:rsidRPr="0060318E">
        <w:rPr>
          <w:rFonts w:eastAsia="Calibri"/>
          <w:sz w:val="28"/>
          <w:szCs w:val="28"/>
          <w:lang w:eastAsia="en-US"/>
        </w:rPr>
        <w:t>:</w:t>
      </w:r>
    </w:p>
    <w:p w14:paraId="358823E7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 xml:space="preserve">встановити вплив передпосівної обробки насіння регулятором росту рослин </w:t>
      </w:r>
      <w:proofErr w:type="spellStart"/>
      <w:r w:rsidRPr="0060318E">
        <w:rPr>
          <w:rFonts w:eastAsia="Calibri"/>
          <w:sz w:val="28"/>
          <w:szCs w:val="28"/>
          <w:lang w:eastAsia="en-US"/>
        </w:rPr>
        <w:t>Ендофітом</w:t>
      </w:r>
      <w:proofErr w:type="spellEnd"/>
      <w:r w:rsidRPr="0060318E">
        <w:rPr>
          <w:rFonts w:eastAsia="Calibri"/>
          <w:sz w:val="28"/>
          <w:szCs w:val="28"/>
          <w:lang w:eastAsia="en-US"/>
        </w:rPr>
        <w:t>–L1 РК, бактеріальним препаратом БТУ–р, їх комплексного застосування та позакореневих підживлень на проходження фенологічних фаз та тривалість вегетаційного періоду сортів гороху озимого;</w:t>
      </w:r>
    </w:p>
    <w:p w14:paraId="42D630B5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>дослідити особливості ростових процесів та формування надземної маси у рослин гороху озимого залежно від досліджуваних чинників;</w:t>
      </w:r>
    </w:p>
    <w:p w14:paraId="2E1756CA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 xml:space="preserve">вивчити особливості проростання насіння та початкові етапи росту гороху озимого за використання </w:t>
      </w:r>
      <w:proofErr w:type="spellStart"/>
      <w:r w:rsidRPr="0060318E">
        <w:rPr>
          <w:rFonts w:eastAsia="Calibri"/>
          <w:sz w:val="28"/>
          <w:szCs w:val="28"/>
          <w:lang w:eastAsia="en-US"/>
        </w:rPr>
        <w:t>рістрегулюючого</w:t>
      </w:r>
      <w:proofErr w:type="spellEnd"/>
      <w:r w:rsidRPr="0060318E">
        <w:rPr>
          <w:rFonts w:eastAsia="Calibri"/>
          <w:sz w:val="28"/>
          <w:szCs w:val="28"/>
          <w:lang w:eastAsia="en-US"/>
        </w:rPr>
        <w:t xml:space="preserve"> та бактеріального препаратів;</w:t>
      </w:r>
    </w:p>
    <w:p w14:paraId="50693E5A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 xml:space="preserve">встановити дію регулятора росту рослин, </w:t>
      </w:r>
      <w:proofErr w:type="spellStart"/>
      <w:r w:rsidRPr="0060318E">
        <w:rPr>
          <w:rFonts w:eastAsia="Calibri"/>
          <w:sz w:val="28"/>
          <w:szCs w:val="28"/>
          <w:lang w:eastAsia="en-US"/>
        </w:rPr>
        <w:t>інокулянта</w:t>
      </w:r>
      <w:proofErr w:type="spellEnd"/>
      <w:r w:rsidRPr="0060318E">
        <w:rPr>
          <w:rFonts w:eastAsia="Calibri"/>
          <w:sz w:val="28"/>
          <w:szCs w:val="28"/>
          <w:lang w:eastAsia="en-US"/>
        </w:rPr>
        <w:t xml:space="preserve">, їх композиції та позакореневих підживлень на накопичення в прилистках гороху озимого </w:t>
      </w:r>
      <w:proofErr w:type="spellStart"/>
      <w:r w:rsidRPr="0060318E">
        <w:rPr>
          <w:rFonts w:eastAsia="Calibri"/>
          <w:sz w:val="28"/>
          <w:szCs w:val="28"/>
          <w:lang w:eastAsia="en-US"/>
        </w:rPr>
        <w:t>хлорофілів</w:t>
      </w:r>
      <w:proofErr w:type="spellEnd"/>
      <w:r w:rsidRPr="0060318E">
        <w:rPr>
          <w:rFonts w:eastAsia="Calibri"/>
          <w:sz w:val="28"/>
          <w:szCs w:val="28"/>
          <w:lang w:eastAsia="en-US"/>
        </w:rPr>
        <w:t xml:space="preserve"> </w:t>
      </w:r>
      <w:r w:rsidRPr="0060318E">
        <w:rPr>
          <w:rFonts w:eastAsia="Calibri"/>
          <w:i/>
          <w:iCs/>
          <w:sz w:val="28"/>
          <w:szCs w:val="28"/>
          <w:lang w:eastAsia="en-US"/>
        </w:rPr>
        <w:t>а</w:t>
      </w:r>
      <w:r w:rsidRPr="0060318E">
        <w:rPr>
          <w:rFonts w:eastAsia="Calibri"/>
          <w:sz w:val="28"/>
          <w:szCs w:val="28"/>
          <w:lang w:eastAsia="en-US"/>
        </w:rPr>
        <w:t xml:space="preserve"> і </w:t>
      </w:r>
      <w:r w:rsidRPr="0060318E">
        <w:rPr>
          <w:rFonts w:eastAsia="Calibri"/>
          <w:i/>
          <w:iCs/>
          <w:sz w:val="28"/>
          <w:szCs w:val="28"/>
          <w:lang w:eastAsia="en-US"/>
        </w:rPr>
        <w:t>b</w:t>
      </w:r>
      <w:r w:rsidRPr="0060318E">
        <w:rPr>
          <w:rFonts w:eastAsia="Calibri"/>
          <w:sz w:val="28"/>
          <w:szCs w:val="28"/>
          <w:lang w:eastAsia="en-US"/>
        </w:rPr>
        <w:t>, їх суми і каротиноїдів;</w:t>
      </w:r>
    </w:p>
    <w:p w14:paraId="7089DAA9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>з’ясувати зміни у формуванні фотосинтетичної активності посівів сортів гороху озимого на фоні застосування досліджуваних технологій вирощування;</w:t>
      </w:r>
    </w:p>
    <w:p w14:paraId="739668AC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 xml:space="preserve">вивчити особливості формування та функціонування симбіотичного апарату у гороху озимого залежно від застосування регулятора росту рослин, </w:t>
      </w:r>
      <w:proofErr w:type="spellStart"/>
      <w:r w:rsidRPr="0060318E">
        <w:rPr>
          <w:rFonts w:eastAsia="Calibri"/>
          <w:sz w:val="28"/>
          <w:szCs w:val="28"/>
          <w:lang w:eastAsia="en-US"/>
        </w:rPr>
        <w:t>інокулянта</w:t>
      </w:r>
      <w:proofErr w:type="spellEnd"/>
      <w:r w:rsidRPr="0060318E">
        <w:rPr>
          <w:rFonts w:eastAsia="Calibri"/>
          <w:sz w:val="28"/>
          <w:szCs w:val="28"/>
          <w:lang w:eastAsia="en-US"/>
        </w:rPr>
        <w:t>, їх композиції та позакореневих підживлень;</w:t>
      </w:r>
    </w:p>
    <w:p w14:paraId="6C3A823F" w14:textId="77777777" w:rsidR="00B046FC" w:rsidRPr="0060318E" w:rsidRDefault="001F78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>дослідити елементи структури в</w:t>
      </w:r>
      <w:r w:rsidR="00B046FC" w:rsidRPr="0060318E">
        <w:rPr>
          <w:rFonts w:eastAsia="Calibri"/>
          <w:sz w:val="28"/>
          <w:szCs w:val="28"/>
          <w:lang w:eastAsia="en-US"/>
        </w:rPr>
        <w:t>рожаю та здійснити аналіз урожайності гороху озимого і його якості за дії досліджуваних чинників;</w:t>
      </w:r>
    </w:p>
    <w:p w14:paraId="1BA39D28" w14:textId="77777777" w:rsidR="00B046FC" w:rsidRPr="0060318E" w:rsidRDefault="00B046FC" w:rsidP="0064699F">
      <w:pPr>
        <w:widowControl w:val="0"/>
        <w:tabs>
          <w:tab w:val="left" w:pos="1134"/>
        </w:tabs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0318E">
        <w:rPr>
          <w:rFonts w:eastAsia="Calibri"/>
          <w:sz w:val="28"/>
          <w:szCs w:val="28"/>
          <w:lang w:eastAsia="en-US"/>
        </w:rPr>
        <w:t>–</w:t>
      </w:r>
      <w:r w:rsidRPr="0060318E">
        <w:rPr>
          <w:rFonts w:eastAsia="Calibri"/>
          <w:sz w:val="28"/>
          <w:szCs w:val="28"/>
          <w:lang w:eastAsia="en-US"/>
        </w:rPr>
        <w:tab/>
        <w:t xml:space="preserve">здійснити економічне </w:t>
      </w:r>
      <w:r w:rsidR="00323973" w:rsidRPr="0060318E">
        <w:rPr>
          <w:rFonts w:eastAsia="Calibri"/>
          <w:sz w:val="28"/>
          <w:szCs w:val="28"/>
          <w:lang w:eastAsia="en-US"/>
        </w:rPr>
        <w:t>і</w:t>
      </w:r>
      <w:r w:rsidRPr="0060318E">
        <w:rPr>
          <w:rFonts w:eastAsia="Calibri"/>
          <w:sz w:val="28"/>
          <w:szCs w:val="28"/>
          <w:lang w:eastAsia="en-US"/>
        </w:rPr>
        <w:t xml:space="preserve"> біоенергетичне обґрунтування ефективності за роздільного та сумісного використання досліджуваних чинників у посівах </w:t>
      </w:r>
      <w:r w:rsidRPr="0060318E">
        <w:rPr>
          <w:rFonts w:eastAsia="Calibri"/>
          <w:sz w:val="28"/>
          <w:szCs w:val="28"/>
          <w:lang w:eastAsia="en-US"/>
        </w:rPr>
        <w:lastRenderedPageBreak/>
        <w:t>сортів гороху озимого.</w:t>
      </w:r>
    </w:p>
    <w:p w14:paraId="6ED0BB28" w14:textId="77777777" w:rsidR="00963ABD" w:rsidRPr="0060318E" w:rsidRDefault="00963ABD" w:rsidP="00AF1BA7">
      <w:pPr>
        <w:widowControl w:val="0"/>
        <w:autoSpaceDE w:val="0"/>
        <w:autoSpaceDN w:val="0"/>
        <w:spacing w:before="5" w:line="276" w:lineRule="auto"/>
        <w:ind w:right="-1" w:firstLine="709"/>
        <w:jc w:val="both"/>
        <w:rPr>
          <w:sz w:val="28"/>
          <w:szCs w:val="28"/>
          <w:lang w:eastAsia="en-US"/>
        </w:rPr>
      </w:pPr>
      <w:r w:rsidRPr="0060318E">
        <w:rPr>
          <w:b/>
          <w:sz w:val="28"/>
          <w:szCs w:val="28"/>
          <w:lang w:eastAsia="en-US"/>
        </w:rPr>
        <w:t>Наукова</w:t>
      </w:r>
      <w:r w:rsidR="0099781A" w:rsidRPr="0060318E">
        <w:rPr>
          <w:b/>
          <w:sz w:val="28"/>
          <w:szCs w:val="28"/>
          <w:lang w:eastAsia="en-US"/>
        </w:rPr>
        <w:t xml:space="preserve"> </w:t>
      </w:r>
      <w:r w:rsidRPr="0060318E">
        <w:rPr>
          <w:b/>
          <w:sz w:val="28"/>
          <w:szCs w:val="28"/>
          <w:lang w:eastAsia="en-US"/>
        </w:rPr>
        <w:t>новизна</w:t>
      </w:r>
      <w:r w:rsidR="0099781A" w:rsidRPr="0060318E">
        <w:rPr>
          <w:b/>
          <w:sz w:val="28"/>
          <w:szCs w:val="28"/>
          <w:lang w:eastAsia="en-US"/>
        </w:rPr>
        <w:t xml:space="preserve"> </w:t>
      </w:r>
      <w:r w:rsidR="007C5CA6" w:rsidRPr="0060318E">
        <w:rPr>
          <w:b/>
          <w:sz w:val="28"/>
          <w:szCs w:val="28"/>
          <w:lang w:eastAsia="en-US"/>
        </w:rPr>
        <w:t xml:space="preserve">основних </w:t>
      </w:r>
      <w:r w:rsidRPr="0060318E">
        <w:rPr>
          <w:b/>
          <w:sz w:val="28"/>
          <w:szCs w:val="28"/>
          <w:lang w:eastAsia="en-US"/>
        </w:rPr>
        <w:t>результатів</w:t>
      </w:r>
      <w:r w:rsidR="0099781A" w:rsidRPr="0060318E">
        <w:rPr>
          <w:b/>
          <w:sz w:val="28"/>
          <w:szCs w:val="28"/>
          <w:lang w:eastAsia="en-US"/>
        </w:rPr>
        <w:t xml:space="preserve"> </w:t>
      </w:r>
      <w:r w:rsidR="007C5CA6" w:rsidRPr="0060318E">
        <w:rPr>
          <w:b/>
          <w:sz w:val="28"/>
          <w:szCs w:val="28"/>
          <w:lang w:eastAsia="en-US"/>
        </w:rPr>
        <w:t>дослідження</w:t>
      </w:r>
      <w:r w:rsidR="0099781A" w:rsidRPr="0060318E">
        <w:rPr>
          <w:b/>
          <w:sz w:val="28"/>
          <w:szCs w:val="28"/>
          <w:lang w:eastAsia="en-US"/>
        </w:rPr>
        <w:t xml:space="preserve"> </w:t>
      </w:r>
      <w:r w:rsidR="00CF2D68" w:rsidRPr="0060318E">
        <w:rPr>
          <w:sz w:val="28"/>
          <w:szCs w:val="28"/>
          <w:lang w:eastAsia="en-US"/>
        </w:rPr>
        <w:t>п</w:t>
      </w:r>
      <w:r w:rsidRPr="0060318E">
        <w:rPr>
          <w:sz w:val="28"/>
          <w:szCs w:val="28"/>
          <w:lang w:eastAsia="en-US"/>
        </w:rPr>
        <w:t>олягала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всебічному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теоретичному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вивченні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наукових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джерел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досліджуваною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тематикою,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розробці, практичному обґрунтуванні та впровадженню нових агротехнічних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прийомів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технологію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вирощування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сучасних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озимих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сортів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гороху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посівного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умовах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Лісостепу</w:t>
      </w:r>
      <w:r w:rsidR="0099781A" w:rsidRPr="0060318E">
        <w:rPr>
          <w:sz w:val="28"/>
          <w:szCs w:val="28"/>
          <w:lang w:eastAsia="en-US"/>
        </w:rPr>
        <w:t xml:space="preserve"> </w:t>
      </w:r>
      <w:r w:rsidR="001F78FC" w:rsidRPr="0060318E">
        <w:rPr>
          <w:sz w:val="28"/>
          <w:szCs w:val="28"/>
          <w:lang w:eastAsia="en-US"/>
        </w:rPr>
        <w:t>п</w:t>
      </w:r>
      <w:r w:rsidRPr="0060318E">
        <w:rPr>
          <w:sz w:val="28"/>
          <w:szCs w:val="28"/>
          <w:lang w:eastAsia="en-US"/>
        </w:rPr>
        <w:t>равобережного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метою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оптимізації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продуктивності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культури</w:t>
      </w:r>
      <w:r w:rsidR="00C162AA" w:rsidRPr="0060318E">
        <w:rPr>
          <w:sz w:val="28"/>
          <w:szCs w:val="28"/>
          <w:lang w:eastAsia="en-US"/>
        </w:rPr>
        <w:t xml:space="preserve"> за рахунок </w:t>
      </w:r>
      <w:r w:rsidRPr="0060318E">
        <w:rPr>
          <w:sz w:val="28"/>
          <w:szCs w:val="28"/>
          <w:lang w:eastAsia="en-US"/>
        </w:rPr>
        <w:t>покращення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структури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врожаю,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підвищення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якості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зерна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задля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збільшення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економічної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доцільності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й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біоенергетичної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ефективності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отримання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кінцевої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продукції.</w:t>
      </w:r>
    </w:p>
    <w:p w14:paraId="58A8CD23" w14:textId="77777777" w:rsidR="007C5CA6" w:rsidRPr="0060318E" w:rsidRDefault="007C5CA6" w:rsidP="00AF1BA7">
      <w:pPr>
        <w:widowControl w:val="0"/>
        <w:autoSpaceDE w:val="0"/>
        <w:autoSpaceDN w:val="0"/>
        <w:spacing w:before="1" w:line="276" w:lineRule="auto"/>
        <w:ind w:right="-1" w:firstLine="709"/>
        <w:jc w:val="both"/>
        <w:rPr>
          <w:b/>
          <w:sz w:val="28"/>
          <w:szCs w:val="28"/>
          <w:lang w:eastAsia="en-US"/>
        </w:rPr>
      </w:pPr>
      <w:r w:rsidRPr="0060318E">
        <w:rPr>
          <w:b/>
          <w:sz w:val="28"/>
          <w:szCs w:val="28"/>
          <w:lang w:eastAsia="en-US"/>
        </w:rPr>
        <w:t>Наукова новизна одержаних результатів:</w:t>
      </w:r>
    </w:p>
    <w:p w14:paraId="5ED2AF39" w14:textId="77777777" w:rsidR="00963ABD" w:rsidRPr="0060318E" w:rsidRDefault="00963ABD" w:rsidP="00AF1BA7">
      <w:pPr>
        <w:widowControl w:val="0"/>
        <w:autoSpaceDE w:val="0"/>
        <w:autoSpaceDN w:val="0"/>
        <w:spacing w:before="1" w:line="276" w:lineRule="auto"/>
        <w:ind w:right="-1" w:firstLine="709"/>
        <w:jc w:val="both"/>
        <w:rPr>
          <w:sz w:val="28"/>
          <w:szCs w:val="28"/>
          <w:lang w:eastAsia="en-US"/>
        </w:rPr>
      </w:pPr>
      <w:r w:rsidRPr="0060318E">
        <w:rPr>
          <w:i/>
          <w:iCs/>
          <w:sz w:val="28"/>
          <w:szCs w:val="28"/>
          <w:lang w:eastAsia="en-US"/>
        </w:rPr>
        <w:t>Уперше</w:t>
      </w:r>
      <w:r w:rsidR="001F78FC" w:rsidRPr="0060318E">
        <w:rPr>
          <w:sz w:val="28"/>
          <w:szCs w:val="28"/>
          <w:lang w:eastAsia="en-US"/>
        </w:rPr>
        <w:t xml:space="preserve"> в умовах Лісостепу п</w:t>
      </w:r>
      <w:r w:rsidRPr="0060318E">
        <w:rPr>
          <w:sz w:val="28"/>
          <w:szCs w:val="28"/>
          <w:lang w:eastAsia="en-US"/>
        </w:rPr>
        <w:t>равобережного України дано комплексну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оцінку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сортам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гороху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озимого,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передпосівної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обробки</w:t>
      </w:r>
      <w:r w:rsid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насіння</w:t>
      </w:r>
      <w:r w:rsidR="001F78FC" w:rsidRPr="0060318E">
        <w:rPr>
          <w:sz w:val="28"/>
          <w:szCs w:val="28"/>
          <w:lang w:eastAsia="en-US"/>
        </w:rPr>
        <w:t xml:space="preserve"> </w:t>
      </w:r>
      <w:proofErr w:type="spellStart"/>
      <w:r w:rsidR="001F78FC" w:rsidRPr="0060318E">
        <w:rPr>
          <w:sz w:val="28"/>
          <w:szCs w:val="28"/>
          <w:lang w:eastAsia="en-US"/>
        </w:rPr>
        <w:t>ріст</w:t>
      </w:r>
      <w:r w:rsidR="00C162AA" w:rsidRPr="0060318E">
        <w:rPr>
          <w:sz w:val="28"/>
          <w:szCs w:val="28"/>
          <w:lang w:eastAsia="en-US"/>
        </w:rPr>
        <w:t>регулюючим</w:t>
      </w:r>
      <w:proofErr w:type="spellEnd"/>
      <w:r w:rsidR="00C162A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бактеріальним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препарат</w:t>
      </w:r>
      <w:r w:rsidR="00CF2D68" w:rsidRPr="0060318E">
        <w:rPr>
          <w:sz w:val="28"/>
          <w:szCs w:val="28"/>
          <w:lang w:eastAsia="en-US"/>
        </w:rPr>
        <w:t>ами</w:t>
      </w:r>
      <w:r w:rsidRPr="0060318E">
        <w:rPr>
          <w:sz w:val="28"/>
          <w:szCs w:val="28"/>
          <w:lang w:eastAsia="en-US"/>
        </w:rPr>
        <w:t>,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їх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комплексному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 xml:space="preserve">застосуванню та позакореневим </w:t>
      </w:r>
      <w:r w:rsidR="00CF2D68" w:rsidRPr="0060318E">
        <w:rPr>
          <w:sz w:val="28"/>
          <w:szCs w:val="28"/>
          <w:lang w:eastAsia="en-US"/>
        </w:rPr>
        <w:t>підживленням</w:t>
      </w:r>
      <w:r w:rsidRPr="0060318E">
        <w:rPr>
          <w:sz w:val="28"/>
          <w:szCs w:val="28"/>
          <w:lang w:eastAsia="en-US"/>
        </w:rPr>
        <w:t xml:space="preserve"> мікродобривами, що дозволило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оптимізувати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адаптивну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технологію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вирощування,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яка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призвела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до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одержання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стабільної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врожайності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та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підвищеної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якості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зерна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гороху</w:t>
      </w:r>
      <w:r w:rsidR="0099781A" w:rsidRPr="0060318E">
        <w:rPr>
          <w:sz w:val="28"/>
          <w:szCs w:val="28"/>
          <w:lang w:eastAsia="en-US"/>
        </w:rPr>
        <w:t xml:space="preserve"> </w:t>
      </w:r>
      <w:r w:rsidRPr="0060318E">
        <w:rPr>
          <w:sz w:val="28"/>
          <w:szCs w:val="28"/>
          <w:lang w:eastAsia="en-US"/>
        </w:rPr>
        <w:t>озимого.</w:t>
      </w:r>
    </w:p>
    <w:p w14:paraId="5399130B" w14:textId="77777777" w:rsidR="00963ABD" w:rsidRPr="0060318E" w:rsidRDefault="00963ABD" w:rsidP="00AF1BA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7" w:right="57" w:firstLine="709"/>
        <w:jc w:val="both"/>
        <w:rPr>
          <w:bCs/>
          <w:sz w:val="28"/>
          <w:szCs w:val="28"/>
          <w:lang w:eastAsia="uk-UA"/>
        </w:rPr>
      </w:pPr>
      <w:bookmarkStart w:id="0" w:name="bookmark8"/>
      <w:r w:rsidRPr="0060318E">
        <w:rPr>
          <w:bCs/>
          <w:i/>
          <w:iCs/>
          <w:sz w:val="28"/>
          <w:szCs w:val="28"/>
          <w:lang w:eastAsia="uk-UA"/>
        </w:rPr>
        <w:t>Удосконалено</w:t>
      </w:r>
      <w:r w:rsidRPr="0060318E">
        <w:rPr>
          <w:bCs/>
          <w:sz w:val="28"/>
          <w:szCs w:val="28"/>
          <w:lang w:eastAsia="uk-UA"/>
        </w:rPr>
        <w:t xml:space="preserve"> способи застосування </w:t>
      </w:r>
      <w:proofErr w:type="spellStart"/>
      <w:r w:rsidRPr="0060318E">
        <w:rPr>
          <w:bCs/>
          <w:sz w:val="28"/>
          <w:szCs w:val="28"/>
          <w:lang w:eastAsia="uk-UA"/>
        </w:rPr>
        <w:t>морфорегулятора</w:t>
      </w:r>
      <w:proofErr w:type="spellEnd"/>
      <w:r w:rsidRPr="0060318E">
        <w:rPr>
          <w:bCs/>
          <w:sz w:val="28"/>
          <w:szCs w:val="28"/>
          <w:lang w:eastAsia="uk-UA"/>
        </w:rPr>
        <w:t xml:space="preserve"> та бактеріального препарату для передпосівної обробки насіння гороху озимого у поєднанні з використанням позакореневих підживлень мікродобривами з метою забезпечення вищої економічної ефективності.</w:t>
      </w:r>
    </w:p>
    <w:p w14:paraId="327C7812" w14:textId="77777777" w:rsidR="00963ABD" w:rsidRPr="0060318E" w:rsidRDefault="00963ABD" w:rsidP="00AF1BA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7" w:right="57" w:firstLine="709"/>
        <w:jc w:val="both"/>
        <w:rPr>
          <w:bCs/>
          <w:sz w:val="28"/>
          <w:szCs w:val="28"/>
          <w:lang w:eastAsia="uk-UA"/>
        </w:rPr>
      </w:pPr>
      <w:r w:rsidRPr="0060318E">
        <w:rPr>
          <w:bCs/>
          <w:i/>
          <w:iCs/>
          <w:sz w:val="28"/>
          <w:szCs w:val="28"/>
          <w:lang w:eastAsia="uk-UA"/>
        </w:rPr>
        <w:t>Подальшого розвитку набули</w:t>
      </w:r>
      <w:r w:rsidRPr="0060318E">
        <w:rPr>
          <w:bCs/>
          <w:sz w:val="28"/>
          <w:szCs w:val="28"/>
          <w:lang w:eastAsia="uk-UA"/>
        </w:rPr>
        <w:t xml:space="preserve"> питання щодо економічної та біоенергетичної оцінки доцільності використання передпосівної обробки насіння </w:t>
      </w:r>
      <w:proofErr w:type="spellStart"/>
      <w:r w:rsidRPr="0060318E">
        <w:rPr>
          <w:bCs/>
          <w:sz w:val="28"/>
          <w:szCs w:val="28"/>
          <w:lang w:eastAsia="uk-UA"/>
        </w:rPr>
        <w:t>рістрегулятором</w:t>
      </w:r>
      <w:proofErr w:type="spellEnd"/>
      <w:r w:rsidRPr="0060318E">
        <w:rPr>
          <w:bCs/>
          <w:sz w:val="28"/>
          <w:szCs w:val="28"/>
          <w:lang w:eastAsia="uk-UA"/>
        </w:rPr>
        <w:t xml:space="preserve">, </w:t>
      </w:r>
      <w:proofErr w:type="spellStart"/>
      <w:r w:rsidRPr="0060318E">
        <w:rPr>
          <w:bCs/>
          <w:sz w:val="28"/>
          <w:szCs w:val="28"/>
          <w:lang w:eastAsia="uk-UA"/>
        </w:rPr>
        <w:t>біоінокулянтом</w:t>
      </w:r>
      <w:proofErr w:type="spellEnd"/>
      <w:r w:rsidRPr="0060318E">
        <w:rPr>
          <w:bCs/>
          <w:sz w:val="28"/>
          <w:szCs w:val="28"/>
          <w:lang w:eastAsia="uk-UA"/>
        </w:rPr>
        <w:t xml:space="preserve"> та позакореневих підживлень мікродобривами рослин гороху озимого.</w:t>
      </w:r>
    </w:p>
    <w:bookmarkEnd w:id="0"/>
    <w:p w14:paraId="6C1713AB" w14:textId="77777777" w:rsidR="00C162AA" w:rsidRPr="0060318E" w:rsidRDefault="007C5CA6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b/>
          <w:sz w:val="28"/>
          <w:szCs w:val="28"/>
        </w:rPr>
        <w:t>Практична цінність результатів дослідження та їх впровадження</w:t>
      </w:r>
      <w:r w:rsidR="00C162AA" w:rsidRPr="0060318E">
        <w:rPr>
          <w:b/>
          <w:sz w:val="28"/>
          <w:szCs w:val="28"/>
        </w:rPr>
        <w:t xml:space="preserve">. </w:t>
      </w:r>
      <w:r w:rsidR="00C162AA" w:rsidRPr="0060318E">
        <w:rPr>
          <w:sz w:val="28"/>
          <w:szCs w:val="28"/>
        </w:rPr>
        <w:t>Цінність отриманих наукових результатів полягає у запровадженні у виробництво сортових інтенсивних технологій вирощування гороху озимого на основі комплексної передпосівної обробки насіння регулятором росту рослин</w:t>
      </w:r>
      <w:r w:rsidR="0060318E">
        <w:rPr>
          <w:sz w:val="28"/>
          <w:szCs w:val="28"/>
        </w:rPr>
        <w:t xml:space="preserve"> </w:t>
      </w:r>
      <w:proofErr w:type="spellStart"/>
      <w:r w:rsidR="00C162AA" w:rsidRPr="0060318E">
        <w:rPr>
          <w:sz w:val="28"/>
          <w:szCs w:val="28"/>
        </w:rPr>
        <w:t>Ендофітом</w:t>
      </w:r>
      <w:proofErr w:type="spellEnd"/>
      <w:r w:rsidR="00C162AA" w:rsidRPr="0060318E">
        <w:rPr>
          <w:sz w:val="28"/>
          <w:szCs w:val="28"/>
        </w:rPr>
        <w:t>–L1</w:t>
      </w:r>
      <w:r w:rsidR="0060318E">
        <w:rPr>
          <w:sz w:val="28"/>
          <w:szCs w:val="28"/>
        </w:rPr>
        <w:t xml:space="preserve"> </w:t>
      </w:r>
      <w:r w:rsidR="00C162AA" w:rsidRPr="0060318E">
        <w:rPr>
          <w:sz w:val="28"/>
          <w:szCs w:val="28"/>
        </w:rPr>
        <w:t>РК та бактеріальним препаратом БТУ–р на фоні удобрення</w:t>
      </w:r>
      <w:r w:rsidR="0060318E">
        <w:rPr>
          <w:sz w:val="28"/>
          <w:szCs w:val="28"/>
        </w:rPr>
        <w:t xml:space="preserve"> </w:t>
      </w:r>
      <w:r w:rsidR="00C162AA" w:rsidRPr="0060318E">
        <w:rPr>
          <w:sz w:val="28"/>
          <w:szCs w:val="28"/>
        </w:rPr>
        <w:t>N</w:t>
      </w:r>
      <w:r w:rsidR="00C162AA" w:rsidRPr="0060318E">
        <w:rPr>
          <w:sz w:val="28"/>
          <w:szCs w:val="28"/>
          <w:vertAlign w:val="subscript"/>
        </w:rPr>
        <w:t>45</w:t>
      </w:r>
      <w:r w:rsidR="00C162AA" w:rsidRPr="0060318E">
        <w:rPr>
          <w:sz w:val="28"/>
          <w:szCs w:val="28"/>
        </w:rPr>
        <w:t>P</w:t>
      </w:r>
      <w:r w:rsidR="00C162AA" w:rsidRPr="0060318E">
        <w:rPr>
          <w:sz w:val="28"/>
          <w:szCs w:val="28"/>
          <w:vertAlign w:val="subscript"/>
        </w:rPr>
        <w:t>45</w:t>
      </w:r>
      <w:r w:rsidR="00C162AA" w:rsidRPr="0060318E">
        <w:rPr>
          <w:sz w:val="28"/>
          <w:szCs w:val="28"/>
        </w:rPr>
        <w:t>K</w:t>
      </w:r>
      <w:r w:rsidR="00C162AA" w:rsidRPr="0060318E">
        <w:rPr>
          <w:sz w:val="28"/>
          <w:szCs w:val="28"/>
          <w:vertAlign w:val="subscript"/>
        </w:rPr>
        <w:t>45</w:t>
      </w:r>
      <w:r w:rsidR="00C162AA" w:rsidRPr="0060318E">
        <w:rPr>
          <w:sz w:val="28"/>
          <w:szCs w:val="28"/>
        </w:rPr>
        <w:t xml:space="preserve"> при дворазовому позакореневому підживленні мікродобривами LF–БОБОВІ і </w:t>
      </w:r>
      <w:proofErr w:type="spellStart"/>
      <w:r w:rsidR="00C162AA" w:rsidRPr="0060318E">
        <w:rPr>
          <w:sz w:val="28"/>
          <w:szCs w:val="28"/>
        </w:rPr>
        <w:t>Біобор</w:t>
      </w:r>
      <w:proofErr w:type="spellEnd"/>
      <w:r w:rsidR="00C162AA" w:rsidRPr="0060318E">
        <w:rPr>
          <w:sz w:val="28"/>
          <w:szCs w:val="28"/>
        </w:rPr>
        <w:t xml:space="preserve"> 140, які забезпечили високу врожайність зерна.</w:t>
      </w:r>
    </w:p>
    <w:p w14:paraId="4C5A6BC0" w14:textId="77777777" w:rsidR="001F78FC" w:rsidRPr="0060318E" w:rsidRDefault="001F78FC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Результати експериментальних досліджень, отриманих під час виконання дисертаційної роботи, пройшли виробничу перевірку в технологіях вирощування </w:t>
      </w:r>
      <w:r w:rsidR="00B02BA3">
        <w:rPr>
          <w:sz w:val="28"/>
          <w:szCs w:val="28"/>
        </w:rPr>
        <w:t xml:space="preserve">гороху озимого в господарствах </w:t>
      </w:r>
      <w:r w:rsidR="00B02BA3">
        <w:rPr>
          <w:sz w:val="28"/>
          <w:szCs w:val="28"/>
        </w:rPr>
        <w:br/>
      </w:r>
      <w:r w:rsidRPr="0060318E">
        <w:rPr>
          <w:sz w:val="28"/>
          <w:szCs w:val="28"/>
        </w:rPr>
        <w:t>СК «АКПП «ПЕРЕМОГА» (довідка № 14/1 ПР від 05.05.2023 р.) та ПП «ЗЕТО» (довідка № 22/1 ЗТ від 19.05.2023 р.)</w:t>
      </w:r>
      <w:r w:rsidR="0092537D" w:rsidRPr="0060318E">
        <w:rPr>
          <w:sz w:val="28"/>
          <w:szCs w:val="28"/>
        </w:rPr>
        <w:t>,</w:t>
      </w:r>
      <w:r w:rsidR="0060318E">
        <w:rPr>
          <w:sz w:val="28"/>
          <w:szCs w:val="28"/>
        </w:rPr>
        <w:t xml:space="preserve"> </w:t>
      </w:r>
      <w:r w:rsidR="0092537D" w:rsidRPr="0060318E">
        <w:rPr>
          <w:sz w:val="28"/>
          <w:szCs w:val="28"/>
        </w:rPr>
        <w:t xml:space="preserve">та свідчать, що </w:t>
      </w:r>
      <w:r w:rsidRPr="0060318E">
        <w:rPr>
          <w:sz w:val="28"/>
          <w:szCs w:val="28"/>
        </w:rPr>
        <w:t>при удосконален</w:t>
      </w:r>
      <w:r w:rsidR="0092537D" w:rsidRPr="0060318E">
        <w:rPr>
          <w:sz w:val="28"/>
          <w:szCs w:val="28"/>
        </w:rPr>
        <w:t>н</w:t>
      </w:r>
      <w:r w:rsidRPr="0060318E">
        <w:rPr>
          <w:sz w:val="28"/>
          <w:szCs w:val="28"/>
        </w:rPr>
        <w:t xml:space="preserve">і технологічних прийомів вирощування гороху озимого можна впливати на майбутній рівень урожайності та отримувати насіння з високими </w:t>
      </w:r>
      <w:r w:rsidRPr="0060318E">
        <w:rPr>
          <w:sz w:val="28"/>
          <w:szCs w:val="28"/>
        </w:rPr>
        <w:lastRenderedPageBreak/>
        <w:t>показниками якості.</w:t>
      </w:r>
    </w:p>
    <w:p w14:paraId="43E47C7E" w14:textId="292FF804" w:rsidR="007C5CA6" w:rsidRPr="0060318E" w:rsidRDefault="001F78FC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Результати наукових досліджень дисертаційної роботи впроваджені у науково-методичний процес та наукову роботу Вінницького національного аграрного університету при викладанні окремих частин навчальних дисциплін «Агрохімія» та «Точне землеробство» (довідка від </w:t>
      </w:r>
      <w:r w:rsidR="007029AD" w:rsidRPr="007029AD">
        <w:rPr>
          <w:sz w:val="28"/>
          <w:szCs w:val="28"/>
          <w:lang w:val="ru-RU"/>
        </w:rPr>
        <w:t xml:space="preserve"> </w:t>
      </w:r>
      <w:r w:rsidRPr="0060318E">
        <w:rPr>
          <w:sz w:val="28"/>
          <w:szCs w:val="28"/>
        </w:rPr>
        <w:t>22 грудня 2021 року</w:t>
      </w:r>
      <w:r w:rsidR="007029AD" w:rsidRPr="007029AD">
        <w:rPr>
          <w:sz w:val="28"/>
          <w:szCs w:val="28"/>
          <w:lang w:val="ru-RU"/>
        </w:rPr>
        <w:t xml:space="preserve"> </w:t>
      </w:r>
      <w:r w:rsidRPr="0060318E">
        <w:rPr>
          <w:sz w:val="28"/>
          <w:szCs w:val="28"/>
        </w:rPr>
        <w:t xml:space="preserve"> №01.1-60-2037).</w:t>
      </w:r>
    </w:p>
    <w:p w14:paraId="2F88BC26" w14:textId="77777777" w:rsidR="00226D12" w:rsidRPr="0060318E" w:rsidRDefault="00226D12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>Аналіз кількості наукових публікацій, повноти опублікування результатів дисертації та особистого внеску здобувача до всіх наукових публікацій, опублікованих із співавторами та зарахованих за темою дисертації, засвідчив, що результати дослідження, які викладені в дисертаційній роботі, отримані автором самостійно, повною мірою відображають основні положення та висновки роботи, доповідалися і обговорювалися на науково-практичних конференціях.</w:t>
      </w:r>
    </w:p>
    <w:p w14:paraId="2BA6D77F" w14:textId="14EB7621" w:rsidR="00226D12" w:rsidRPr="0060318E" w:rsidRDefault="00226D12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Результати дисертаційної роботи Шевчук В.В. опубліковано                     </w:t>
      </w:r>
      <w:r w:rsidR="00F8220F" w:rsidRPr="0060318E">
        <w:rPr>
          <w:sz w:val="28"/>
          <w:szCs w:val="28"/>
        </w:rPr>
        <w:t xml:space="preserve">у </w:t>
      </w:r>
      <w:r w:rsidRPr="0060318E">
        <w:rPr>
          <w:sz w:val="28"/>
          <w:szCs w:val="28"/>
        </w:rPr>
        <w:t>15 наукових прац</w:t>
      </w:r>
      <w:r w:rsidR="00F8220F" w:rsidRPr="0060318E">
        <w:rPr>
          <w:sz w:val="28"/>
          <w:szCs w:val="28"/>
        </w:rPr>
        <w:t>ях</w:t>
      </w:r>
      <w:r w:rsidRPr="0060318E">
        <w:rPr>
          <w:sz w:val="28"/>
          <w:szCs w:val="28"/>
        </w:rPr>
        <w:t xml:space="preserve"> загальним обсягом 7,3 </w:t>
      </w:r>
      <w:proofErr w:type="spellStart"/>
      <w:r w:rsidRPr="0060318E">
        <w:rPr>
          <w:sz w:val="28"/>
          <w:szCs w:val="28"/>
        </w:rPr>
        <w:t>умовн</w:t>
      </w:r>
      <w:proofErr w:type="spellEnd"/>
      <w:r w:rsidRPr="0060318E">
        <w:rPr>
          <w:sz w:val="28"/>
          <w:szCs w:val="28"/>
        </w:rPr>
        <w:t xml:space="preserve">. друк. </w:t>
      </w:r>
      <w:proofErr w:type="spellStart"/>
      <w:r w:rsidRPr="0060318E">
        <w:rPr>
          <w:sz w:val="28"/>
          <w:szCs w:val="28"/>
        </w:rPr>
        <w:t>арк</w:t>
      </w:r>
      <w:proofErr w:type="spellEnd"/>
      <w:r w:rsidRPr="0060318E">
        <w:rPr>
          <w:sz w:val="28"/>
          <w:szCs w:val="28"/>
        </w:rPr>
        <w:t xml:space="preserve">. (власний доробок автора 5,53 </w:t>
      </w:r>
      <w:proofErr w:type="spellStart"/>
      <w:r w:rsidRPr="0060318E">
        <w:rPr>
          <w:sz w:val="28"/>
          <w:szCs w:val="28"/>
        </w:rPr>
        <w:t>умовн</w:t>
      </w:r>
      <w:proofErr w:type="spellEnd"/>
      <w:r w:rsidRPr="0060318E">
        <w:rPr>
          <w:sz w:val="28"/>
          <w:szCs w:val="28"/>
        </w:rPr>
        <w:t xml:space="preserve">. друк. </w:t>
      </w:r>
      <w:proofErr w:type="spellStart"/>
      <w:r w:rsidRPr="0060318E">
        <w:rPr>
          <w:sz w:val="28"/>
          <w:szCs w:val="28"/>
        </w:rPr>
        <w:t>арк</w:t>
      </w:r>
      <w:proofErr w:type="spellEnd"/>
      <w:r w:rsidRPr="0060318E">
        <w:rPr>
          <w:sz w:val="28"/>
          <w:szCs w:val="28"/>
        </w:rPr>
        <w:t>.)</w:t>
      </w:r>
      <w:r w:rsidR="0092537D" w:rsidRPr="0060318E">
        <w:rPr>
          <w:sz w:val="28"/>
          <w:szCs w:val="28"/>
        </w:rPr>
        <w:t>,</w:t>
      </w:r>
      <w:r w:rsidRPr="0060318E">
        <w:rPr>
          <w:sz w:val="28"/>
          <w:szCs w:val="28"/>
        </w:rPr>
        <w:t xml:space="preserve"> втому числі 2,96 </w:t>
      </w:r>
      <w:proofErr w:type="spellStart"/>
      <w:r w:rsidRPr="0060318E">
        <w:rPr>
          <w:sz w:val="28"/>
          <w:szCs w:val="28"/>
        </w:rPr>
        <w:t>умовн</w:t>
      </w:r>
      <w:proofErr w:type="spellEnd"/>
      <w:r w:rsidRPr="0060318E">
        <w:rPr>
          <w:sz w:val="28"/>
          <w:szCs w:val="28"/>
        </w:rPr>
        <w:t xml:space="preserve">. друк. </w:t>
      </w:r>
      <w:proofErr w:type="spellStart"/>
      <w:r w:rsidRPr="0060318E">
        <w:rPr>
          <w:sz w:val="28"/>
          <w:szCs w:val="28"/>
        </w:rPr>
        <w:t>арк</w:t>
      </w:r>
      <w:proofErr w:type="spellEnd"/>
      <w:r w:rsidRPr="0060318E">
        <w:rPr>
          <w:sz w:val="28"/>
          <w:szCs w:val="28"/>
        </w:rPr>
        <w:t>. у наукових видання</w:t>
      </w:r>
      <w:r w:rsidR="0092537D" w:rsidRPr="0060318E">
        <w:rPr>
          <w:sz w:val="28"/>
          <w:szCs w:val="28"/>
        </w:rPr>
        <w:t>х</w:t>
      </w:r>
      <w:r w:rsidRPr="0060318E">
        <w:rPr>
          <w:sz w:val="28"/>
          <w:szCs w:val="28"/>
        </w:rPr>
        <w:t>, включених до переліку наукових фахових видань України</w:t>
      </w:r>
      <w:r w:rsidR="0092537D" w:rsidRPr="0060318E">
        <w:rPr>
          <w:sz w:val="28"/>
          <w:szCs w:val="28"/>
        </w:rPr>
        <w:t>,</w:t>
      </w:r>
      <w:r w:rsidRPr="0060318E">
        <w:rPr>
          <w:sz w:val="28"/>
          <w:szCs w:val="28"/>
        </w:rPr>
        <w:t xml:space="preserve"> та 2,57 </w:t>
      </w:r>
      <w:proofErr w:type="spellStart"/>
      <w:r w:rsidRPr="0060318E">
        <w:rPr>
          <w:sz w:val="28"/>
          <w:szCs w:val="28"/>
        </w:rPr>
        <w:t>умовн</w:t>
      </w:r>
      <w:proofErr w:type="spellEnd"/>
      <w:r w:rsidRPr="0060318E">
        <w:rPr>
          <w:sz w:val="28"/>
          <w:szCs w:val="28"/>
        </w:rPr>
        <w:t xml:space="preserve">. друк. </w:t>
      </w:r>
      <w:proofErr w:type="spellStart"/>
      <w:r w:rsidRPr="0060318E">
        <w:rPr>
          <w:sz w:val="28"/>
          <w:szCs w:val="28"/>
        </w:rPr>
        <w:t>арк</w:t>
      </w:r>
      <w:proofErr w:type="spellEnd"/>
      <w:r w:rsidRPr="0060318E">
        <w:rPr>
          <w:sz w:val="28"/>
          <w:szCs w:val="28"/>
        </w:rPr>
        <w:t xml:space="preserve">. у інших виданнях. З них відповідають вимогам п. 8-9 Порядку присудження ступеня доктора філософії та скасування рішення разової спеціалізованої вченої ради закладу вищої освіти, наукової установи про присудження ступеня доктора філософії затвердженого Постановою Кабінету Міністрів України від </w:t>
      </w:r>
      <w:r w:rsidR="0099781A" w:rsidRPr="0060318E">
        <w:rPr>
          <w:sz w:val="28"/>
          <w:szCs w:val="28"/>
        </w:rPr>
        <w:t xml:space="preserve"> </w:t>
      </w:r>
      <w:r w:rsidRPr="0060318E">
        <w:rPr>
          <w:sz w:val="28"/>
          <w:szCs w:val="28"/>
        </w:rPr>
        <w:t>12 січня 2022 року № 44 – 5 публікацій.</w:t>
      </w:r>
    </w:p>
    <w:p w14:paraId="3AA5E6DF" w14:textId="77777777" w:rsidR="005C254B" w:rsidRPr="0060318E" w:rsidRDefault="005C254B" w:rsidP="00AF1BA7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0318E">
        <w:rPr>
          <w:sz w:val="28"/>
          <w:szCs w:val="28"/>
        </w:rPr>
        <w:t>Основні положення дисертаційної роботи доповідались на</w:t>
      </w:r>
      <w:r w:rsidR="0099781A" w:rsidRPr="0060318E">
        <w:rPr>
          <w:sz w:val="28"/>
          <w:szCs w:val="28"/>
        </w:rPr>
        <w:t xml:space="preserve">                                  </w:t>
      </w:r>
      <w:r w:rsidRPr="0060318E">
        <w:rPr>
          <w:sz w:val="28"/>
          <w:szCs w:val="28"/>
        </w:rPr>
        <w:t xml:space="preserve"> 13</w:t>
      </w:r>
      <w:r w:rsidR="00922281">
        <w:rPr>
          <w:sz w:val="28"/>
          <w:szCs w:val="28"/>
        </w:rPr>
        <w:t xml:space="preserve"> Все</w:t>
      </w:r>
      <w:r w:rsidRPr="0060318E">
        <w:rPr>
          <w:sz w:val="28"/>
          <w:szCs w:val="28"/>
        </w:rPr>
        <w:t>українських та</w:t>
      </w:r>
      <w:r w:rsidR="00922281">
        <w:rPr>
          <w:sz w:val="28"/>
          <w:szCs w:val="28"/>
        </w:rPr>
        <w:t xml:space="preserve"> Мі</w:t>
      </w:r>
      <w:r w:rsidRPr="0060318E">
        <w:rPr>
          <w:rFonts w:eastAsia="Calibri"/>
          <w:sz w:val="28"/>
          <w:szCs w:val="28"/>
        </w:rPr>
        <w:t>жнародних науково-практичних конференціях, що відбулись протягом 2019</w:t>
      </w:r>
      <w:r w:rsidR="00B02BA3">
        <w:rPr>
          <w:rFonts w:eastAsia="Calibri"/>
          <w:sz w:val="28"/>
          <w:szCs w:val="28"/>
        </w:rPr>
        <w:t>-</w:t>
      </w:r>
      <w:r w:rsidRPr="0060318E">
        <w:rPr>
          <w:rFonts w:eastAsia="Calibri"/>
          <w:sz w:val="28"/>
          <w:szCs w:val="28"/>
        </w:rPr>
        <w:t>2023 рр.</w:t>
      </w:r>
    </w:p>
    <w:p w14:paraId="0996DAA6" w14:textId="77777777" w:rsidR="00342B16" w:rsidRPr="0060318E" w:rsidRDefault="00342B16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Висновки і рекомендації виробництву, якими завершується дисертація, мають відповідне обґрунтування та практичне значення й </w:t>
      </w:r>
      <w:proofErr w:type="spellStart"/>
      <w:r w:rsidR="00A71A81" w:rsidRPr="0060318E">
        <w:rPr>
          <w:sz w:val="28"/>
          <w:szCs w:val="28"/>
        </w:rPr>
        <w:t>логічно</w:t>
      </w:r>
      <w:proofErr w:type="spellEnd"/>
      <w:r w:rsidR="00A71A81" w:rsidRPr="0060318E">
        <w:rPr>
          <w:sz w:val="28"/>
          <w:szCs w:val="28"/>
        </w:rPr>
        <w:t xml:space="preserve"> випливають </w:t>
      </w:r>
      <w:r w:rsidRPr="0060318E">
        <w:rPr>
          <w:sz w:val="28"/>
          <w:szCs w:val="28"/>
        </w:rPr>
        <w:t>зі змісту дисертаційної роботи.</w:t>
      </w:r>
    </w:p>
    <w:p w14:paraId="7B4EB96A" w14:textId="77777777" w:rsidR="00342B16" w:rsidRPr="0060318E" w:rsidRDefault="00342B16" w:rsidP="00DB62D6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b/>
          <w:sz w:val="28"/>
          <w:szCs w:val="28"/>
        </w:rPr>
        <w:t>Зауваження до змісту дисертації та її оформлення.</w:t>
      </w:r>
      <w:r w:rsidRPr="0060318E">
        <w:rPr>
          <w:sz w:val="28"/>
          <w:szCs w:val="28"/>
        </w:rPr>
        <w:t xml:space="preserve"> Поряд з позитивною характеристикою дисертації </w:t>
      </w:r>
      <w:r w:rsidR="00021E53" w:rsidRPr="0060318E">
        <w:rPr>
          <w:sz w:val="28"/>
          <w:szCs w:val="28"/>
        </w:rPr>
        <w:t xml:space="preserve">Шевчук </w:t>
      </w:r>
      <w:r w:rsidRPr="0060318E">
        <w:rPr>
          <w:sz w:val="28"/>
          <w:szCs w:val="28"/>
        </w:rPr>
        <w:t>Вікторії</w:t>
      </w:r>
      <w:r w:rsidR="00F8220F" w:rsidRPr="0060318E">
        <w:rPr>
          <w:sz w:val="28"/>
          <w:szCs w:val="28"/>
        </w:rPr>
        <w:t xml:space="preserve"> Вікторівни</w:t>
      </w:r>
      <w:r w:rsidRPr="0060318E">
        <w:rPr>
          <w:sz w:val="28"/>
          <w:szCs w:val="28"/>
        </w:rPr>
        <w:t xml:space="preserve">, </w:t>
      </w:r>
      <w:r w:rsidR="00DB62D6" w:rsidRPr="0060318E">
        <w:rPr>
          <w:sz w:val="28"/>
          <w:szCs w:val="28"/>
        </w:rPr>
        <w:t xml:space="preserve">вважаю доцільним звернути увагу автора на </w:t>
      </w:r>
      <w:r w:rsidRPr="0060318E">
        <w:rPr>
          <w:sz w:val="28"/>
          <w:szCs w:val="28"/>
        </w:rPr>
        <w:t>певні недоліки, які можуть бути підґрунтям для наукової дискусії і вдосконалення:</w:t>
      </w:r>
    </w:p>
    <w:p w14:paraId="162C10AB" w14:textId="77777777" w:rsidR="00342B16" w:rsidRPr="0060318E" w:rsidRDefault="00342B16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1. </w:t>
      </w:r>
      <w:r w:rsidR="00A71797" w:rsidRPr="0060318E">
        <w:rPr>
          <w:sz w:val="28"/>
          <w:szCs w:val="28"/>
        </w:rPr>
        <w:t>Дисертаційна робота з</w:t>
      </w:r>
      <w:r w:rsidR="00C17ED6" w:rsidRPr="0060318E">
        <w:rPr>
          <w:sz w:val="28"/>
          <w:szCs w:val="28"/>
        </w:rPr>
        <w:t>авелика за об’ємом і складає 171</w:t>
      </w:r>
      <w:r w:rsidR="0060318E">
        <w:rPr>
          <w:sz w:val="28"/>
          <w:szCs w:val="28"/>
        </w:rPr>
        <w:t xml:space="preserve"> </w:t>
      </w:r>
      <w:r w:rsidR="00A71797" w:rsidRPr="0060318E">
        <w:rPr>
          <w:sz w:val="28"/>
          <w:szCs w:val="28"/>
        </w:rPr>
        <w:t>сторінк</w:t>
      </w:r>
      <w:r w:rsidR="00A71A81" w:rsidRPr="0060318E">
        <w:rPr>
          <w:sz w:val="28"/>
          <w:szCs w:val="28"/>
        </w:rPr>
        <w:t>у</w:t>
      </w:r>
      <w:r w:rsidR="00A71797" w:rsidRPr="0060318E">
        <w:rPr>
          <w:sz w:val="28"/>
          <w:szCs w:val="28"/>
        </w:rPr>
        <w:t xml:space="preserve"> до рекомен</w:t>
      </w:r>
      <w:r w:rsidR="00C17ED6" w:rsidRPr="0060318E">
        <w:rPr>
          <w:sz w:val="28"/>
          <w:szCs w:val="28"/>
        </w:rPr>
        <w:t>дацій виробництву, а загалом 310</w:t>
      </w:r>
      <w:r w:rsidR="00A71797" w:rsidRPr="0060318E">
        <w:rPr>
          <w:sz w:val="28"/>
          <w:szCs w:val="28"/>
        </w:rPr>
        <w:t xml:space="preserve"> сторінок.</w:t>
      </w:r>
    </w:p>
    <w:p w14:paraId="33883F06" w14:textId="77777777" w:rsidR="00342B16" w:rsidRPr="0060318E" w:rsidRDefault="00342B16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>2.</w:t>
      </w:r>
      <w:r w:rsidR="0060318E">
        <w:rPr>
          <w:sz w:val="28"/>
          <w:szCs w:val="28"/>
        </w:rPr>
        <w:t xml:space="preserve"> </w:t>
      </w:r>
      <w:r w:rsidR="005C71EE" w:rsidRPr="0060318E">
        <w:rPr>
          <w:sz w:val="28"/>
          <w:szCs w:val="28"/>
        </w:rPr>
        <w:t xml:space="preserve">Рисунок 3.7 </w:t>
      </w:r>
      <w:r w:rsidR="00DB62D6" w:rsidRPr="0060318E">
        <w:rPr>
          <w:sz w:val="28"/>
          <w:szCs w:val="28"/>
        </w:rPr>
        <w:t xml:space="preserve">на </w:t>
      </w:r>
      <w:proofErr w:type="spellStart"/>
      <w:r w:rsidR="005C71EE" w:rsidRPr="0060318E">
        <w:rPr>
          <w:sz w:val="28"/>
          <w:szCs w:val="28"/>
        </w:rPr>
        <w:t>стор</w:t>
      </w:r>
      <w:proofErr w:type="spellEnd"/>
      <w:r w:rsidR="005C71EE" w:rsidRPr="0060318E">
        <w:rPr>
          <w:sz w:val="28"/>
          <w:szCs w:val="28"/>
        </w:rPr>
        <w:t xml:space="preserve">. 99 та </w:t>
      </w:r>
      <w:r w:rsidR="00DB62D6" w:rsidRPr="0060318E">
        <w:rPr>
          <w:sz w:val="28"/>
          <w:szCs w:val="28"/>
        </w:rPr>
        <w:t xml:space="preserve">рисунок </w:t>
      </w:r>
      <w:r w:rsidR="005C71EE" w:rsidRPr="0060318E">
        <w:rPr>
          <w:sz w:val="28"/>
          <w:szCs w:val="28"/>
        </w:rPr>
        <w:t xml:space="preserve">3.8 </w:t>
      </w:r>
      <w:r w:rsidR="00DB62D6" w:rsidRPr="0060318E">
        <w:rPr>
          <w:sz w:val="28"/>
          <w:szCs w:val="28"/>
        </w:rPr>
        <w:t xml:space="preserve">на </w:t>
      </w:r>
      <w:proofErr w:type="spellStart"/>
      <w:r w:rsidR="005C71EE" w:rsidRPr="0060318E">
        <w:rPr>
          <w:sz w:val="28"/>
          <w:szCs w:val="28"/>
        </w:rPr>
        <w:t>стор</w:t>
      </w:r>
      <w:proofErr w:type="spellEnd"/>
      <w:r w:rsidR="005C71EE" w:rsidRPr="0060318E">
        <w:rPr>
          <w:sz w:val="28"/>
          <w:szCs w:val="28"/>
        </w:rPr>
        <w:t xml:space="preserve">. 101, змінена </w:t>
      </w:r>
      <w:proofErr w:type="spellStart"/>
      <w:r w:rsidR="005C71EE" w:rsidRPr="0060318E">
        <w:rPr>
          <w:sz w:val="28"/>
          <w:szCs w:val="28"/>
        </w:rPr>
        <w:t>почерговість</w:t>
      </w:r>
      <w:proofErr w:type="spellEnd"/>
      <w:r w:rsidR="005C71EE" w:rsidRPr="0060318E">
        <w:rPr>
          <w:sz w:val="28"/>
          <w:szCs w:val="28"/>
        </w:rPr>
        <w:t xml:space="preserve"> висвітлення факторів передпосівної обробки насіння та не зазначено у даних рисунках, який саме використовувався </w:t>
      </w:r>
      <w:proofErr w:type="spellStart"/>
      <w:r w:rsidR="005C71EE" w:rsidRPr="0060318E">
        <w:rPr>
          <w:sz w:val="28"/>
          <w:szCs w:val="28"/>
        </w:rPr>
        <w:t>Біоінокулянт</w:t>
      </w:r>
      <w:proofErr w:type="spellEnd"/>
      <w:r w:rsidR="005C71EE" w:rsidRPr="0060318E">
        <w:rPr>
          <w:sz w:val="28"/>
          <w:szCs w:val="28"/>
        </w:rPr>
        <w:t xml:space="preserve">. </w:t>
      </w:r>
    </w:p>
    <w:p w14:paraId="42D332CE" w14:textId="77777777" w:rsidR="007029AD" w:rsidRDefault="00790C4F" w:rsidP="007029AD">
      <w:pPr>
        <w:widowControl w:val="0"/>
        <w:spacing w:line="276" w:lineRule="auto"/>
        <w:ind w:firstLine="709"/>
        <w:rPr>
          <w:sz w:val="28"/>
          <w:szCs w:val="28"/>
        </w:rPr>
      </w:pPr>
      <w:r w:rsidRPr="0060318E">
        <w:rPr>
          <w:sz w:val="28"/>
          <w:szCs w:val="28"/>
        </w:rPr>
        <w:t>3</w:t>
      </w:r>
      <w:r w:rsidR="00342B16" w:rsidRPr="0060318E">
        <w:rPr>
          <w:sz w:val="28"/>
          <w:szCs w:val="28"/>
        </w:rPr>
        <w:t xml:space="preserve">. </w:t>
      </w:r>
      <w:r w:rsidR="007C3304" w:rsidRPr="0060318E">
        <w:rPr>
          <w:sz w:val="28"/>
          <w:szCs w:val="28"/>
        </w:rPr>
        <w:t xml:space="preserve">У дисертаційній роботі </w:t>
      </w:r>
      <w:proofErr w:type="spellStart"/>
      <w:r w:rsidR="00B7324E" w:rsidRPr="0060318E">
        <w:rPr>
          <w:sz w:val="28"/>
          <w:szCs w:val="28"/>
        </w:rPr>
        <w:t>Біоінокулянт</w:t>
      </w:r>
      <w:proofErr w:type="spellEnd"/>
      <w:r w:rsidR="00B7324E" w:rsidRPr="0060318E">
        <w:rPr>
          <w:sz w:val="28"/>
          <w:szCs w:val="28"/>
        </w:rPr>
        <w:t xml:space="preserve"> БТУ–р в деяких розділах та </w:t>
      </w:r>
    </w:p>
    <w:p w14:paraId="0CE686ED" w14:textId="29C22874" w:rsidR="00B7324E" w:rsidRPr="0060318E" w:rsidRDefault="007029AD" w:rsidP="007029AD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324E" w:rsidRPr="0060318E">
        <w:rPr>
          <w:sz w:val="28"/>
          <w:szCs w:val="28"/>
        </w:rPr>
        <w:lastRenderedPageBreak/>
        <w:t>таблицях скорочується чи прописується «</w:t>
      </w:r>
      <w:proofErr w:type="spellStart"/>
      <w:r w:rsidR="00B7324E" w:rsidRPr="0060318E">
        <w:rPr>
          <w:sz w:val="28"/>
          <w:szCs w:val="28"/>
        </w:rPr>
        <w:t>інокулянт</w:t>
      </w:r>
      <w:proofErr w:type="spellEnd"/>
      <w:r w:rsidR="00B7324E" w:rsidRPr="0060318E">
        <w:rPr>
          <w:sz w:val="28"/>
          <w:szCs w:val="28"/>
        </w:rPr>
        <w:t>», «бактеріальний препарат».</w:t>
      </w:r>
    </w:p>
    <w:p w14:paraId="02D2D8FD" w14:textId="77777777" w:rsidR="00342B16" w:rsidRPr="0060318E" w:rsidRDefault="007C3304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4. </w:t>
      </w:r>
      <w:r w:rsidR="00C769D1" w:rsidRPr="0060318E">
        <w:rPr>
          <w:sz w:val="28"/>
          <w:szCs w:val="28"/>
        </w:rPr>
        <w:t>У роботі не пояснюється, як під впливом удобрювальних продуктів у насінні гороху озимого одночасно підвищується вміст сирого протеїну й сирого жиру.</w:t>
      </w:r>
      <w:r w:rsidR="0099781A" w:rsidRPr="0060318E">
        <w:rPr>
          <w:sz w:val="28"/>
          <w:szCs w:val="28"/>
        </w:rPr>
        <w:t xml:space="preserve"> </w:t>
      </w:r>
      <w:r w:rsidR="00C769D1" w:rsidRPr="0060318E">
        <w:rPr>
          <w:sz w:val="28"/>
          <w:szCs w:val="28"/>
        </w:rPr>
        <w:t>Не встановлено також рівень кореляційної залежності між цими показниками.</w:t>
      </w:r>
    </w:p>
    <w:p w14:paraId="6DDB1FCC" w14:textId="77777777" w:rsidR="00342B16" w:rsidRPr="0060318E" w:rsidRDefault="007C3304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5. </w:t>
      </w:r>
      <w:r w:rsidR="00C769D1" w:rsidRPr="0060318E">
        <w:rPr>
          <w:sz w:val="28"/>
          <w:szCs w:val="28"/>
        </w:rPr>
        <w:t>У п’ятому розділі дисертаційної роботи</w:t>
      </w:r>
      <w:r w:rsidR="00C769D1" w:rsidRPr="0060318E">
        <w:rPr>
          <w:strike/>
          <w:sz w:val="28"/>
          <w:szCs w:val="28"/>
          <w:u w:val="single"/>
        </w:rPr>
        <w:t>,</w:t>
      </w:r>
      <w:r w:rsidR="00C769D1" w:rsidRPr="0060318E">
        <w:rPr>
          <w:sz w:val="28"/>
          <w:szCs w:val="28"/>
        </w:rPr>
        <w:t xml:space="preserve"> табличний матеріал супроводжується графіками і діаграмами, </w:t>
      </w:r>
      <w:r w:rsidR="00DB62D6" w:rsidRPr="0060318E">
        <w:rPr>
          <w:sz w:val="28"/>
          <w:szCs w:val="28"/>
        </w:rPr>
        <w:t>проте варто було б</w:t>
      </w:r>
      <w:r w:rsidR="0099781A" w:rsidRPr="0060318E">
        <w:rPr>
          <w:sz w:val="28"/>
          <w:szCs w:val="28"/>
        </w:rPr>
        <w:t xml:space="preserve"> </w:t>
      </w:r>
      <w:r w:rsidR="00C769D1" w:rsidRPr="0060318E">
        <w:rPr>
          <w:sz w:val="28"/>
          <w:szCs w:val="28"/>
        </w:rPr>
        <w:t>для зменшення об’єму роботи ряд таблиць винести в додатки.</w:t>
      </w:r>
    </w:p>
    <w:p w14:paraId="0A5FD6AB" w14:textId="77777777" w:rsidR="00DB62D6" w:rsidRPr="0060318E" w:rsidRDefault="007C3304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6. </w:t>
      </w:r>
      <w:r w:rsidR="00342B16" w:rsidRPr="0060318E">
        <w:rPr>
          <w:sz w:val="28"/>
          <w:szCs w:val="28"/>
        </w:rPr>
        <w:t>У дисертації є посилання не на наукові джерела (підручники, посібники, не</w:t>
      </w:r>
      <w:r w:rsidR="0099781A" w:rsidRPr="0060318E">
        <w:rPr>
          <w:sz w:val="28"/>
          <w:szCs w:val="28"/>
        </w:rPr>
        <w:t xml:space="preserve"> </w:t>
      </w:r>
      <w:r w:rsidR="00342B16" w:rsidRPr="0060318E">
        <w:rPr>
          <w:sz w:val="28"/>
          <w:szCs w:val="28"/>
        </w:rPr>
        <w:t xml:space="preserve">фахові видання тощо). </w:t>
      </w:r>
      <w:r w:rsidR="00DB62D6" w:rsidRPr="0060318E">
        <w:rPr>
          <w:sz w:val="28"/>
          <w:szCs w:val="28"/>
        </w:rPr>
        <w:t xml:space="preserve">На ці джерела можна не посилатися, оскільки список використаних джерел у дисертаційній роботі є досить </w:t>
      </w:r>
      <w:r w:rsidR="000B7646" w:rsidRPr="0060318E">
        <w:rPr>
          <w:sz w:val="28"/>
          <w:szCs w:val="28"/>
        </w:rPr>
        <w:t>великим.</w:t>
      </w:r>
    </w:p>
    <w:p w14:paraId="19BB046A" w14:textId="77777777" w:rsidR="00342B16" w:rsidRPr="0060318E" w:rsidRDefault="007C3304" w:rsidP="007C3304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 xml:space="preserve">7. </w:t>
      </w:r>
      <w:r w:rsidR="00790C4F" w:rsidRPr="0060318E">
        <w:rPr>
          <w:sz w:val="28"/>
          <w:szCs w:val="28"/>
        </w:rPr>
        <w:t xml:space="preserve">Після кожного </w:t>
      </w:r>
      <w:r w:rsidR="000B7646" w:rsidRPr="0060318E">
        <w:rPr>
          <w:sz w:val="28"/>
          <w:szCs w:val="28"/>
        </w:rPr>
        <w:t>розділ</w:t>
      </w:r>
      <w:r w:rsidR="00A71A81" w:rsidRPr="0060318E">
        <w:rPr>
          <w:sz w:val="28"/>
          <w:szCs w:val="28"/>
        </w:rPr>
        <w:t>у</w:t>
      </w:r>
      <w:r w:rsidR="000B7646" w:rsidRPr="0060318E">
        <w:rPr>
          <w:sz w:val="28"/>
          <w:szCs w:val="28"/>
        </w:rPr>
        <w:t xml:space="preserve">, </w:t>
      </w:r>
      <w:r w:rsidR="00790C4F" w:rsidRPr="0060318E">
        <w:rPr>
          <w:sz w:val="28"/>
          <w:szCs w:val="28"/>
        </w:rPr>
        <w:t>з першого до шостого</w:t>
      </w:r>
      <w:r w:rsidR="000B7646" w:rsidRPr="0060318E">
        <w:rPr>
          <w:sz w:val="28"/>
          <w:szCs w:val="28"/>
        </w:rPr>
        <w:t>,</w:t>
      </w:r>
      <w:r w:rsidR="00790C4F" w:rsidRPr="0060318E">
        <w:rPr>
          <w:sz w:val="28"/>
          <w:szCs w:val="28"/>
        </w:rPr>
        <w:t xml:space="preserve"> автор роб</w:t>
      </w:r>
      <w:r w:rsidR="00A71A81" w:rsidRPr="0060318E">
        <w:rPr>
          <w:sz w:val="28"/>
          <w:szCs w:val="28"/>
        </w:rPr>
        <w:t>ить ґрунтовні висновки, тому не</w:t>
      </w:r>
      <w:r w:rsidR="00790C4F" w:rsidRPr="0060318E">
        <w:rPr>
          <w:sz w:val="28"/>
          <w:szCs w:val="28"/>
        </w:rPr>
        <w:t>має доцільності в загальних висновках їх повторювати.</w:t>
      </w:r>
    </w:p>
    <w:p w14:paraId="36A50304" w14:textId="77777777" w:rsidR="00342B16" w:rsidRPr="0060318E" w:rsidRDefault="009E4203" w:rsidP="00AF1BA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>Зазначені</w:t>
      </w:r>
      <w:r w:rsidR="00342B16" w:rsidRPr="0060318E">
        <w:rPr>
          <w:sz w:val="28"/>
          <w:szCs w:val="28"/>
        </w:rPr>
        <w:t xml:space="preserve"> питання та зауваження ніяким чином не впливають на обґрунтованість і зміст положень, які здобувач виносить на захист, а тим більше на зроблені ним висновки і рекомендації за результатами проведених досліджень.</w:t>
      </w:r>
    </w:p>
    <w:p w14:paraId="7371863E" w14:textId="77777777" w:rsidR="00377C5F" w:rsidRPr="0060318E" w:rsidRDefault="00377C5F" w:rsidP="00AF1BA7">
      <w:pPr>
        <w:spacing w:line="276" w:lineRule="auto"/>
        <w:ind w:firstLine="851"/>
        <w:jc w:val="both"/>
        <w:rPr>
          <w:sz w:val="28"/>
          <w:szCs w:val="28"/>
          <w:highlight w:val="yellow"/>
        </w:rPr>
      </w:pPr>
      <w:r w:rsidRPr="0060318E">
        <w:rPr>
          <w:sz w:val="28"/>
          <w:szCs w:val="27"/>
        </w:rPr>
        <w:t xml:space="preserve">Дисертаційна робота </w:t>
      </w:r>
      <w:r w:rsidR="00493936" w:rsidRPr="0060318E">
        <w:rPr>
          <w:sz w:val="28"/>
          <w:szCs w:val="27"/>
        </w:rPr>
        <w:t xml:space="preserve">Шевчук Вікторії Вікторівни </w:t>
      </w:r>
      <w:r w:rsidRPr="0060318E">
        <w:rPr>
          <w:sz w:val="28"/>
          <w:szCs w:val="27"/>
        </w:rPr>
        <w:t xml:space="preserve">заслуговує високої оцінки, оскільки вона виконана </w:t>
      </w:r>
      <w:r w:rsidR="00A71A81" w:rsidRPr="0060318E">
        <w:rPr>
          <w:sz w:val="28"/>
          <w:szCs w:val="27"/>
        </w:rPr>
        <w:t>відповідно</w:t>
      </w:r>
      <w:r w:rsidR="001F000E">
        <w:rPr>
          <w:sz w:val="28"/>
          <w:szCs w:val="27"/>
        </w:rPr>
        <w:t xml:space="preserve"> до</w:t>
      </w:r>
      <w:r w:rsidR="00B02BA3">
        <w:rPr>
          <w:sz w:val="28"/>
          <w:szCs w:val="27"/>
        </w:rPr>
        <w:t xml:space="preserve"> </w:t>
      </w:r>
      <w:r w:rsidRPr="0060318E">
        <w:rPr>
          <w:sz w:val="28"/>
          <w:szCs w:val="27"/>
        </w:rPr>
        <w:t>науко</w:t>
      </w:r>
      <w:r w:rsidR="001F000E">
        <w:rPr>
          <w:sz w:val="28"/>
          <w:szCs w:val="27"/>
        </w:rPr>
        <w:t xml:space="preserve">вих </w:t>
      </w:r>
      <w:r w:rsidRPr="0060318E">
        <w:rPr>
          <w:sz w:val="28"/>
          <w:szCs w:val="27"/>
        </w:rPr>
        <w:t>станд</w:t>
      </w:r>
      <w:r w:rsidR="001F000E">
        <w:rPr>
          <w:sz w:val="28"/>
          <w:szCs w:val="27"/>
        </w:rPr>
        <w:t xml:space="preserve">артів </w:t>
      </w:r>
      <w:r w:rsidRPr="0060318E">
        <w:rPr>
          <w:sz w:val="28"/>
          <w:szCs w:val="27"/>
        </w:rPr>
        <w:t xml:space="preserve">і включає передові наукові дослідження у галузі вирощування гороху озимого. </w:t>
      </w:r>
      <w:r w:rsidR="00493936" w:rsidRPr="0060318E">
        <w:rPr>
          <w:sz w:val="28"/>
          <w:szCs w:val="27"/>
        </w:rPr>
        <w:t xml:space="preserve">Дисертанткою були отримані </w:t>
      </w:r>
      <w:r w:rsidRPr="0060318E">
        <w:rPr>
          <w:sz w:val="28"/>
          <w:szCs w:val="27"/>
        </w:rPr>
        <w:t xml:space="preserve">результати, які підкреслюють важливість використання спеціальних удобрень та передпосівної обробки насіння для поліпшення якості та врожайності гороху озимого. Висновки та рекомендації </w:t>
      </w:r>
      <w:r w:rsidR="00A71A81" w:rsidRPr="0060318E">
        <w:rPr>
          <w:sz w:val="28"/>
          <w:szCs w:val="27"/>
        </w:rPr>
        <w:t xml:space="preserve">дисертаційного </w:t>
      </w:r>
      <w:r w:rsidRPr="0060318E">
        <w:rPr>
          <w:sz w:val="28"/>
          <w:szCs w:val="27"/>
        </w:rPr>
        <w:t xml:space="preserve">дослідження дозволяють практично застосовувати отримані результати у виробництві, що допоможе підвищити </w:t>
      </w:r>
      <w:r w:rsidR="00493936" w:rsidRPr="0060318E">
        <w:rPr>
          <w:sz w:val="28"/>
          <w:szCs w:val="27"/>
        </w:rPr>
        <w:t xml:space="preserve">продуктивність гороху озимого в умовах </w:t>
      </w:r>
      <w:r w:rsidRPr="0060318E">
        <w:rPr>
          <w:sz w:val="28"/>
          <w:szCs w:val="27"/>
        </w:rPr>
        <w:t xml:space="preserve">Лісостепу правобережного. </w:t>
      </w:r>
    </w:p>
    <w:p w14:paraId="5A9C8C82" w14:textId="0F7A481F" w:rsidR="00342B16" w:rsidRDefault="000B7646" w:rsidP="00F3012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0318E">
        <w:rPr>
          <w:sz w:val="28"/>
          <w:szCs w:val="28"/>
        </w:rPr>
        <w:t>Узагальнюючи</w:t>
      </w:r>
      <w:r w:rsidR="00493936" w:rsidRPr="0060318E">
        <w:rPr>
          <w:sz w:val="28"/>
          <w:szCs w:val="28"/>
        </w:rPr>
        <w:t xml:space="preserve">, можна </w:t>
      </w:r>
      <w:r w:rsidR="009E4203" w:rsidRPr="0060318E">
        <w:rPr>
          <w:sz w:val="28"/>
          <w:szCs w:val="28"/>
        </w:rPr>
        <w:t>зробити висновок</w:t>
      </w:r>
      <w:r w:rsidR="00493936" w:rsidRPr="0060318E">
        <w:rPr>
          <w:sz w:val="28"/>
          <w:szCs w:val="28"/>
        </w:rPr>
        <w:t>, що дисертаційна робота та наукові публікації, що були враховані, демонструють глибокі теоретичні знання, відповідні навички та компетентності, які відповідають третьому рівню вищ</w:t>
      </w:r>
      <w:r w:rsidR="009E4203" w:rsidRPr="0060318E">
        <w:rPr>
          <w:sz w:val="28"/>
          <w:szCs w:val="28"/>
        </w:rPr>
        <w:t>ої освіти за спеціальністю 201 Агрономія</w:t>
      </w:r>
      <w:r w:rsidR="00493936" w:rsidRPr="0060318E">
        <w:rPr>
          <w:sz w:val="28"/>
          <w:szCs w:val="28"/>
        </w:rPr>
        <w:t>.</w:t>
      </w:r>
      <w:r w:rsidR="009E4203" w:rsidRPr="0060318E">
        <w:rPr>
          <w:sz w:val="28"/>
          <w:szCs w:val="28"/>
        </w:rPr>
        <w:t xml:space="preserve"> Дисертаційна робота Шевчук Вікторії Вікторівни</w:t>
      </w:r>
      <w:r w:rsidR="00342B16" w:rsidRPr="0060318E">
        <w:rPr>
          <w:sz w:val="28"/>
          <w:szCs w:val="28"/>
        </w:rPr>
        <w:t xml:space="preserve"> є самостійною і завершеною науковою працею, яка повністю відповідає</w:t>
      </w:r>
      <w:r w:rsidR="00726E91">
        <w:rPr>
          <w:sz w:val="28"/>
          <w:szCs w:val="28"/>
        </w:rPr>
        <w:t xml:space="preserve"> Порядку</w:t>
      </w:r>
      <w:r w:rsidR="003B45A8">
        <w:rPr>
          <w:sz w:val="28"/>
          <w:szCs w:val="28"/>
        </w:rPr>
        <w:t xml:space="preserve"> пр</w:t>
      </w:r>
      <w:r w:rsidR="00B70FB8">
        <w:rPr>
          <w:sz w:val="28"/>
          <w:szCs w:val="28"/>
        </w:rPr>
        <w:t xml:space="preserve">исудження ступеня доктора філософії </w:t>
      </w:r>
      <w:r w:rsidR="005C7FDF">
        <w:rPr>
          <w:sz w:val="28"/>
          <w:szCs w:val="28"/>
        </w:rPr>
        <w:t>та скасування рішення разової спе</w:t>
      </w:r>
      <w:r w:rsidR="00784EB9">
        <w:rPr>
          <w:sz w:val="28"/>
          <w:szCs w:val="28"/>
        </w:rPr>
        <w:t>ціалізованої вченої ради закладу вищої освіти,</w:t>
      </w:r>
      <w:r w:rsidR="00152A2F">
        <w:rPr>
          <w:sz w:val="28"/>
          <w:szCs w:val="28"/>
        </w:rPr>
        <w:t xml:space="preserve"> наукової установи </w:t>
      </w:r>
      <w:r w:rsidR="00614056">
        <w:rPr>
          <w:sz w:val="28"/>
          <w:szCs w:val="28"/>
        </w:rPr>
        <w:t xml:space="preserve">про присудження ступеня доктора філософії, </w:t>
      </w:r>
      <w:r w:rsidR="00444EA1">
        <w:rPr>
          <w:sz w:val="28"/>
          <w:szCs w:val="28"/>
        </w:rPr>
        <w:t>затвердженого</w:t>
      </w:r>
      <w:r w:rsidR="00633C85">
        <w:rPr>
          <w:sz w:val="28"/>
          <w:szCs w:val="28"/>
        </w:rPr>
        <w:t xml:space="preserve"> Постановою Кабінету Міністрів України від 12 січня 2022 </w:t>
      </w:r>
      <w:r w:rsidR="002D3D05">
        <w:rPr>
          <w:sz w:val="28"/>
          <w:szCs w:val="28"/>
        </w:rPr>
        <w:t xml:space="preserve">року </w:t>
      </w:r>
      <w:r w:rsidR="00342B16" w:rsidRPr="00D015E3">
        <w:rPr>
          <w:sz w:val="28"/>
          <w:szCs w:val="28"/>
        </w:rPr>
        <w:t>№</w:t>
      </w:r>
      <w:r w:rsidR="0002305C">
        <w:rPr>
          <w:sz w:val="28"/>
          <w:szCs w:val="28"/>
        </w:rPr>
        <w:t xml:space="preserve">44 </w:t>
      </w:r>
      <w:r w:rsidR="00342B16" w:rsidRPr="0060318E">
        <w:rPr>
          <w:sz w:val="28"/>
          <w:szCs w:val="28"/>
        </w:rPr>
        <w:t>і вимогам до оформлення дисертації, затверджени</w:t>
      </w:r>
      <w:r w:rsidR="0099781A" w:rsidRPr="0060318E">
        <w:rPr>
          <w:sz w:val="28"/>
          <w:szCs w:val="28"/>
        </w:rPr>
        <w:t xml:space="preserve">м наказом МОН України від 12 січня </w:t>
      </w:r>
      <w:r w:rsidR="00342B16" w:rsidRPr="0060318E">
        <w:rPr>
          <w:sz w:val="28"/>
          <w:szCs w:val="28"/>
        </w:rPr>
        <w:t xml:space="preserve">2017 р. № 40, та може бути представлена для офіційного </w:t>
      </w:r>
    </w:p>
    <w:p w14:paraId="612D8289" w14:textId="4F3717A5" w:rsidR="00F30128" w:rsidRPr="0060318E" w:rsidRDefault="00F30128" w:rsidP="00F30128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F92EC29" wp14:editId="6B6EEC15">
            <wp:extent cx="5775960" cy="92519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0128" w:rsidRPr="0060318E" w:rsidSect="00B25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85AC" w14:textId="77777777" w:rsidR="0096690D" w:rsidRDefault="0096690D">
      <w:r>
        <w:separator/>
      </w:r>
    </w:p>
  </w:endnote>
  <w:endnote w:type="continuationSeparator" w:id="0">
    <w:p w14:paraId="1BCEFD62" w14:textId="77777777" w:rsidR="0096690D" w:rsidRDefault="0096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2AC0" w14:textId="77777777" w:rsidR="0096690D" w:rsidRDefault="0096690D">
      <w:r>
        <w:separator/>
      </w:r>
    </w:p>
  </w:footnote>
  <w:footnote w:type="continuationSeparator" w:id="0">
    <w:p w14:paraId="3FEFD347" w14:textId="77777777" w:rsidR="0096690D" w:rsidRDefault="00966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1E7"/>
    <w:multiLevelType w:val="hybridMultilevel"/>
    <w:tmpl w:val="C3621A68"/>
    <w:lvl w:ilvl="0" w:tplc="C88AFCC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0573EB"/>
    <w:multiLevelType w:val="hybridMultilevel"/>
    <w:tmpl w:val="ABCC20B2"/>
    <w:lvl w:ilvl="0" w:tplc="CC72BA80">
      <w:start w:val="1"/>
      <w:numFmt w:val="decimal"/>
      <w:lvlText w:val="%1."/>
      <w:lvlJc w:val="left"/>
      <w:pPr>
        <w:ind w:left="219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A6079CE">
      <w:numFmt w:val="bullet"/>
      <w:lvlText w:val="•"/>
      <w:lvlJc w:val="left"/>
      <w:pPr>
        <w:ind w:left="1166" w:hanging="706"/>
      </w:pPr>
      <w:rPr>
        <w:rFonts w:hint="default"/>
        <w:lang w:val="uk-UA" w:eastAsia="en-US" w:bidi="ar-SA"/>
      </w:rPr>
    </w:lvl>
    <w:lvl w:ilvl="2" w:tplc="6FF8E7DA">
      <w:numFmt w:val="bullet"/>
      <w:lvlText w:val="•"/>
      <w:lvlJc w:val="left"/>
      <w:pPr>
        <w:ind w:left="2112" w:hanging="706"/>
      </w:pPr>
      <w:rPr>
        <w:rFonts w:hint="default"/>
        <w:lang w:val="uk-UA" w:eastAsia="en-US" w:bidi="ar-SA"/>
      </w:rPr>
    </w:lvl>
    <w:lvl w:ilvl="3" w:tplc="1D303092">
      <w:numFmt w:val="bullet"/>
      <w:lvlText w:val="•"/>
      <w:lvlJc w:val="left"/>
      <w:pPr>
        <w:ind w:left="3059" w:hanging="706"/>
      </w:pPr>
      <w:rPr>
        <w:rFonts w:hint="default"/>
        <w:lang w:val="uk-UA" w:eastAsia="en-US" w:bidi="ar-SA"/>
      </w:rPr>
    </w:lvl>
    <w:lvl w:ilvl="4" w:tplc="DAE65080">
      <w:numFmt w:val="bullet"/>
      <w:lvlText w:val="•"/>
      <w:lvlJc w:val="left"/>
      <w:pPr>
        <w:ind w:left="4005" w:hanging="706"/>
      </w:pPr>
      <w:rPr>
        <w:rFonts w:hint="default"/>
        <w:lang w:val="uk-UA" w:eastAsia="en-US" w:bidi="ar-SA"/>
      </w:rPr>
    </w:lvl>
    <w:lvl w:ilvl="5" w:tplc="D8980246">
      <w:numFmt w:val="bullet"/>
      <w:lvlText w:val="•"/>
      <w:lvlJc w:val="left"/>
      <w:pPr>
        <w:ind w:left="4952" w:hanging="706"/>
      </w:pPr>
      <w:rPr>
        <w:rFonts w:hint="default"/>
        <w:lang w:val="uk-UA" w:eastAsia="en-US" w:bidi="ar-SA"/>
      </w:rPr>
    </w:lvl>
    <w:lvl w:ilvl="6" w:tplc="A18AA712">
      <w:numFmt w:val="bullet"/>
      <w:lvlText w:val="•"/>
      <w:lvlJc w:val="left"/>
      <w:pPr>
        <w:ind w:left="5898" w:hanging="706"/>
      </w:pPr>
      <w:rPr>
        <w:rFonts w:hint="default"/>
        <w:lang w:val="uk-UA" w:eastAsia="en-US" w:bidi="ar-SA"/>
      </w:rPr>
    </w:lvl>
    <w:lvl w:ilvl="7" w:tplc="E7543C2C">
      <w:numFmt w:val="bullet"/>
      <w:lvlText w:val="•"/>
      <w:lvlJc w:val="left"/>
      <w:pPr>
        <w:ind w:left="6844" w:hanging="706"/>
      </w:pPr>
      <w:rPr>
        <w:rFonts w:hint="default"/>
        <w:lang w:val="uk-UA" w:eastAsia="en-US" w:bidi="ar-SA"/>
      </w:rPr>
    </w:lvl>
    <w:lvl w:ilvl="8" w:tplc="B8528F28">
      <w:numFmt w:val="bullet"/>
      <w:lvlText w:val="•"/>
      <w:lvlJc w:val="left"/>
      <w:pPr>
        <w:ind w:left="7791" w:hanging="706"/>
      </w:pPr>
      <w:rPr>
        <w:rFonts w:hint="default"/>
        <w:lang w:val="uk-UA" w:eastAsia="en-US" w:bidi="ar-SA"/>
      </w:rPr>
    </w:lvl>
  </w:abstractNum>
  <w:abstractNum w:abstractNumId="2" w15:restartNumberingAfterBreak="0">
    <w:nsid w:val="2B6150E6"/>
    <w:multiLevelType w:val="hybridMultilevel"/>
    <w:tmpl w:val="8EEEC9EE"/>
    <w:lvl w:ilvl="0" w:tplc="0354EF64">
      <w:start w:val="1"/>
      <w:numFmt w:val="bullet"/>
      <w:lvlText w:val=""/>
      <w:lvlJc w:val="left"/>
      <w:pPr>
        <w:ind w:left="16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3" w15:restartNumberingAfterBreak="0">
    <w:nsid w:val="321A3EE3"/>
    <w:multiLevelType w:val="hybridMultilevel"/>
    <w:tmpl w:val="F53EE5DE"/>
    <w:lvl w:ilvl="0" w:tplc="B5A06778">
      <w:start w:val="9"/>
      <w:numFmt w:val="bullet"/>
      <w:lvlText w:val="-"/>
      <w:lvlJc w:val="left"/>
      <w:pPr>
        <w:tabs>
          <w:tab w:val="num" w:pos="1470"/>
        </w:tabs>
        <w:ind w:left="14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25C4A5C"/>
    <w:multiLevelType w:val="hybridMultilevel"/>
    <w:tmpl w:val="38F6C6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95038"/>
    <w:multiLevelType w:val="hybridMultilevel"/>
    <w:tmpl w:val="C29A4758"/>
    <w:lvl w:ilvl="0" w:tplc="0354EF64">
      <w:start w:val="1"/>
      <w:numFmt w:val="bullet"/>
      <w:lvlText w:val=""/>
      <w:lvlJc w:val="left"/>
      <w:pPr>
        <w:ind w:left="16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6" w15:restartNumberingAfterBreak="0">
    <w:nsid w:val="6C165080"/>
    <w:multiLevelType w:val="hybridMultilevel"/>
    <w:tmpl w:val="01CC469C"/>
    <w:lvl w:ilvl="0" w:tplc="244832E0">
      <w:start w:val="1"/>
      <w:numFmt w:val="decimal"/>
      <w:lvlText w:val="%1."/>
      <w:lvlJc w:val="left"/>
      <w:pPr>
        <w:ind w:left="119" w:hanging="3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6F4FF98">
      <w:numFmt w:val="bullet"/>
      <w:lvlText w:val="•"/>
      <w:lvlJc w:val="left"/>
      <w:pPr>
        <w:ind w:left="1066" w:hanging="384"/>
      </w:pPr>
      <w:rPr>
        <w:rFonts w:hint="default"/>
        <w:lang w:val="uk-UA" w:eastAsia="en-US" w:bidi="ar-SA"/>
      </w:rPr>
    </w:lvl>
    <w:lvl w:ilvl="2" w:tplc="2070D926">
      <w:numFmt w:val="bullet"/>
      <w:lvlText w:val="•"/>
      <w:lvlJc w:val="left"/>
      <w:pPr>
        <w:ind w:left="2012" w:hanging="384"/>
      </w:pPr>
      <w:rPr>
        <w:rFonts w:hint="default"/>
        <w:lang w:val="uk-UA" w:eastAsia="en-US" w:bidi="ar-SA"/>
      </w:rPr>
    </w:lvl>
    <w:lvl w:ilvl="3" w:tplc="0AD4D0E4">
      <w:numFmt w:val="bullet"/>
      <w:lvlText w:val="•"/>
      <w:lvlJc w:val="left"/>
      <w:pPr>
        <w:ind w:left="2959" w:hanging="384"/>
      </w:pPr>
      <w:rPr>
        <w:rFonts w:hint="default"/>
        <w:lang w:val="uk-UA" w:eastAsia="en-US" w:bidi="ar-SA"/>
      </w:rPr>
    </w:lvl>
    <w:lvl w:ilvl="4" w:tplc="3D5ED304">
      <w:numFmt w:val="bullet"/>
      <w:lvlText w:val="•"/>
      <w:lvlJc w:val="left"/>
      <w:pPr>
        <w:ind w:left="3905" w:hanging="384"/>
      </w:pPr>
      <w:rPr>
        <w:rFonts w:hint="default"/>
        <w:lang w:val="uk-UA" w:eastAsia="en-US" w:bidi="ar-SA"/>
      </w:rPr>
    </w:lvl>
    <w:lvl w:ilvl="5" w:tplc="E8E0A0E0">
      <w:numFmt w:val="bullet"/>
      <w:lvlText w:val="•"/>
      <w:lvlJc w:val="left"/>
      <w:pPr>
        <w:ind w:left="4852" w:hanging="384"/>
      </w:pPr>
      <w:rPr>
        <w:rFonts w:hint="default"/>
        <w:lang w:val="uk-UA" w:eastAsia="en-US" w:bidi="ar-SA"/>
      </w:rPr>
    </w:lvl>
    <w:lvl w:ilvl="6" w:tplc="1F4AD1DC">
      <w:numFmt w:val="bullet"/>
      <w:lvlText w:val="•"/>
      <w:lvlJc w:val="left"/>
      <w:pPr>
        <w:ind w:left="5798" w:hanging="384"/>
      </w:pPr>
      <w:rPr>
        <w:rFonts w:hint="default"/>
        <w:lang w:val="uk-UA" w:eastAsia="en-US" w:bidi="ar-SA"/>
      </w:rPr>
    </w:lvl>
    <w:lvl w:ilvl="7" w:tplc="70F86D2A">
      <w:numFmt w:val="bullet"/>
      <w:lvlText w:val="•"/>
      <w:lvlJc w:val="left"/>
      <w:pPr>
        <w:ind w:left="6744" w:hanging="384"/>
      </w:pPr>
      <w:rPr>
        <w:rFonts w:hint="default"/>
        <w:lang w:val="uk-UA" w:eastAsia="en-US" w:bidi="ar-SA"/>
      </w:rPr>
    </w:lvl>
    <w:lvl w:ilvl="8" w:tplc="6E820744">
      <w:numFmt w:val="bullet"/>
      <w:lvlText w:val="•"/>
      <w:lvlJc w:val="left"/>
      <w:pPr>
        <w:ind w:left="7691" w:hanging="384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B9"/>
    <w:rsid w:val="00011F55"/>
    <w:rsid w:val="00021E53"/>
    <w:rsid w:val="0002305C"/>
    <w:rsid w:val="00053520"/>
    <w:rsid w:val="00055312"/>
    <w:rsid w:val="000715B6"/>
    <w:rsid w:val="000A1C7F"/>
    <w:rsid w:val="000A4BB9"/>
    <w:rsid w:val="000A5B8E"/>
    <w:rsid w:val="000B7646"/>
    <w:rsid w:val="000C3652"/>
    <w:rsid w:val="000C5A22"/>
    <w:rsid w:val="000D6627"/>
    <w:rsid w:val="000D6708"/>
    <w:rsid w:val="000E390E"/>
    <w:rsid w:val="000E3975"/>
    <w:rsid w:val="000F13F3"/>
    <w:rsid w:val="00111C23"/>
    <w:rsid w:val="00113419"/>
    <w:rsid w:val="0011735D"/>
    <w:rsid w:val="00152A2F"/>
    <w:rsid w:val="00165B48"/>
    <w:rsid w:val="001741D1"/>
    <w:rsid w:val="001920EC"/>
    <w:rsid w:val="001C12B0"/>
    <w:rsid w:val="001C198B"/>
    <w:rsid w:val="001C5DDA"/>
    <w:rsid w:val="001F000E"/>
    <w:rsid w:val="001F6EFD"/>
    <w:rsid w:val="001F78FC"/>
    <w:rsid w:val="00200678"/>
    <w:rsid w:val="00210ACF"/>
    <w:rsid w:val="00226D12"/>
    <w:rsid w:val="00246009"/>
    <w:rsid w:val="00254369"/>
    <w:rsid w:val="002637BA"/>
    <w:rsid w:val="002667E7"/>
    <w:rsid w:val="002845F7"/>
    <w:rsid w:val="002A0373"/>
    <w:rsid w:val="002A34FE"/>
    <w:rsid w:val="002C5B63"/>
    <w:rsid w:val="002D3D05"/>
    <w:rsid w:val="002E1080"/>
    <w:rsid w:val="002F4D3A"/>
    <w:rsid w:val="003145BE"/>
    <w:rsid w:val="00323973"/>
    <w:rsid w:val="00332040"/>
    <w:rsid w:val="00334071"/>
    <w:rsid w:val="00342B16"/>
    <w:rsid w:val="00351165"/>
    <w:rsid w:val="003620EF"/>
    <w:rsid w:val="00366279"/>
    <w:rsid w:val="003732D8"/>
    <w:rsid w:val="00377C5F"/>
    <w:rsid w:val="00394DEC"/>
    <w:rsid w:val="003A0816"/>
    <w:rsid w:val="003B0700"/>
    <w:rsid w:val="003B45A8"/>
    <w:rsid w:val="003B62FA"/>
    <w:rsid w:val="003B6D9B"/>
    <w:rsid w:val="003B7466"/>
    <w:rsid w:val="003D33E4"/>
    <w:rsid w:val="003E23B9"/>
    <w:rsid w:val="003F27F2"/>
    <w:rsid w:val="003F68EE"/>
    <w:rsid w:val="003F6C0D"/>
    <w:rsid w:val="0041225B"/>
    <w:rsid w:val="00435B8B"/>
    <w:rsid w:val="00444EA1"/>
    <w:rsid w:val="004718DF"/>
    <w:rsid w:val="00492E6F"/>
    <w:rsid w:val="00493936"/>
    <w:rsid w:val="004C1F11"/>
    <w:rsid w:val="004C2B88"/>
    <w:rsid w:val="004E4AA9"/>
    <w:rsid w:val="004E6D50"/>
    <w:rsid w:val="00523AA1"/>
    <w:rsid w:val="005319DC"/>
    <w:rsid w:val="00536219"/>
    <w:rsid w:val="005450B9"/>
    <w:rsid w:val="005516D7"/>
    <w:rsid w:val="00574455"/>
    <w:rsid w:val="005A57AE"/>
    <w:rsid w:val="005B4BB9"/>
    <w:rsid w:val="005B6BB4"/>
    <w:rsid w:val="005C254B"/>
    <w:rsid w:val="005C71EE"/>
    <w:rsid w:val="005C7FDF"/>
    <w:rsid w:val="005D56F4"/>
    <w:rsid w:val="005E6D04"/>
    <w:rsid w:val="0060318E"/>
    <w:rsid w:val="006044E8"/>
    <w:rsid w:val="00610BD6"/>
    <w:rsid w:val="006112F3"/>
    <w:rsid w:val="00614056"/>
    <w:rsid w:val="0061632F"/>
    <w:rsid w:val="00622F3B"/>
    <w:rsid w:val="00633C85"/>
    <w:rsid w:val="0064699F"/>
    <w:rsid w:val="00647DDC"/>
    <w:rsid w:val="006557A0"/>
    <w:rsid w:val="0066321D"/>
    <w:rsid w:val="00672290"/>
    <w:rsid w:val="006817D2"/>
    <w:rsid w:val="00685043"/>
    <w:rsid w:val="00696C5D"/>
    <w:rsid w:val="006A27C5"/>
    <w:rsid w:val="006A5D51"/>
    <w:rsid w:val="006C08CC"/>
    <w:rsid w:val="006F2B57"/>
    <w:rsid w:val="006F7D49"/>
    <w:rsid w:val="007029AD"/>
    <w:rsid w:val="00706161"/>
    <w:rsid w:val="007072B6"/>
    <w:rsid w:val="00726E91"/>
    <w:rsid w:val="00736FA5"/>
    <w:rsid w:val="00754B80"/>
    <w:rsid w:val="0078311A"/>
    <w:rsid w:val="00784EB9"/>
    <w:rsid w:val="00790C4F"/>
    <w:rsid w:val="007A2FAD"/>
    <w:rsid w:val="007C3304"/>
    <w:rsid w:val="007C5CA6"/>
    <w:rsid w:val="007C5F18"/>
    <w:rsid w:val="007D4C9E"/>
    <w:rsid w:val="007E6C37"/>
    <w:rsid w:val="007E7B1C"/>
    <w:rsid w:val="007F4A5C"/>
    <w:rsid w:val="007F6AC2"/>
    <w:rsid w:val="00821E9F"/>
    <w:rsid w:val="008314D3"/>
    <w:rsid w:val="00831AAE"/>
    <w:rsid w:val="0085683A"/>
    <w:rsid w:val="00875DB1"/>
    <w:rsid w:val="008775C1"/>
    <w:rsid w:val="00881014"/>
    <w:rsid w:val="00882D46"/>
    <w:rsid w:val="0088436E"/>
    <w:rsid w:val="008858CC"/>
    <w:rsid w:val="008904DB"/>
    <w:rsid w:val="008D2022"/>
    <w:rsid w:val="008E213C"/>
    <w:rsid w:val="0091010D"/>
    <w:rsid w:val="0091107F"/>
    <w:rsid w:val="00911F97"/>
    <w:rsid w:val="00922281"/>
    <w:rsid w:val="00924AA4"/>
    <w:rsid w:val="0092537D"/>
    <w:rsid w:val="00927751"/>
    <w:rsid w:val="0095360F"/>
    <w:rsid w:val="00953751"/>
    <w:rsid w:val="00963ABD"/>
    <w:rsid w:val="0096690D"/>
    <w:rsid w:val="0099781A"/>
    <w:rsid w:val="009A51A7"/>
    <w:rsid w:val="009B2331"/>
    <w:rsid w:val="009B2F19"/>
    <w:rsid w:val="009D09C1"/>
    <w:rsid w:val="009E2AA3"/>
    <w:rsid w:val="009E4203"/>
    <w:rsid w:val="00A03958"/>
    <w:rsid w:val="00A16F18"/>
    <w:rsid w:val="00A54E75"/>
    <w:rsid w:val="00A56A87"/>
    <w:rsid w:val="00A6545A"/>
    <w:rsid w:val="00A701CE"/>
    <w:rsid w:val="00A71797"/>
    <w:rsid w:val="00A71A81"/>
    <w:rsid w:val="00A85692"/>
    <w:rsid w:val="00A9044D"/>
    <w:rsid w:val="00A90DBD"/>
    <w:rsid w:val="00AD1C91"/>
    <w:rsid w:val="00AD4978"/>
    <w:rsid w:val="00AD763A"/>
    <w:rsid w:val="00AE0AD1"/>
    <w:rsid w:val="00AE2B10"/>
    <w:rsid w:val="00AE2F3A"/>
    <w:rsid w:val="00AF039B"/>
    <w:rsid w:val="00AF1BA7"/>
    <w:rsid w:val="00B02BA3"/>
    <w:rsid w:val="00B046FC"/>
    <w:rsid w:val="00B118C9"/>
    <w:rsid w:val="00B1264D"/>
    <w:rsid w:val="00B203DB"/>
    <w:rsid w:val="00B21AD6"/>
    <w:rsid w:val="00B25225"/>
    <w:rsid w:val="00B36D06"/>
    <w:rsid w:val="00B70732"/>
    <w:rsid w:val="00B70FB8"/>
    <w:rsid w:val="00B7324E"/>
    <w:rsid w:val="00B83B55"/>
    <w:rsid w:val="00B938C0"/>
    <w:rsid w:val="00B9656F"/>
    <w:rsid w:val="00BA0A60"/>
    <w:rsid w:val="00BB354E"/>
    <w:rsid w:val="00BC1ABF"/>
    <w:rsid w:val="00BD370E"/>
    <w:rsid w:val="00BD6981"/>
    <w:rsid w:val="00BF06E4"/>
    <w:rsid w:val="00C162AA"/>
    <w:rsid w:val="00C17ED6"/>
    <w:rsid w:val="00C41613"/>
    <w:rsid w:val="00C448E8"/>
    <w:rsid w:val="00C769D1"/>
    <w:rsid w:val="00C86F8E"/>
    <w:rsid w:val="00CA3474"/>
    <w:rsid w:val="00CD15D0"/>
    <w:rsid w:val="00CD5EB8"/>
    <w:rsid w:val="00CE08BB"/>
    <w:rsid w:val="00CF19B8"/>
    <w:rsid w:val="00CF2D68"/>
    <w:rsid w:val="00D015E3"/>
    <w:rsid w:val="00D038F7"/>
    <w:rsid w:val="00D341A9"/>
    <w:rsid w:val="00D51E96"/>
    <w:rsid w:val="00D95CCC"/>
    <w:rsid w:val="00DA0E07"/>
    <w:rsid w:val="00DB3C80"/>
    <w:rsid w:val="00DB62D6"/>
    <w:rsid w:val="00DC1BED"/>
    <w:rsid w:val="00DE2F20"/>
    <w:rsid w:val="00E059A3"/>
    <w:rsid w:val="00E07B0A"/>
    <w:rsid w:val="00E12DE8"/>
    <w:rsid w:val="00E40D0E"/>
    <w:rsid w:val="00E45CE3"/>
    <w:rsid w:val="00E532C2"/>
    <w:rsid w:val="00E61DE7"/>
    <w:rsid w:val="00E67D8C"/>
    <w:rsid w:val="00E724FF"/>
    <w:rsid w:val="00E83906"/>
    <w:rsid w:val="00E8716E"/>
    <w:rsid w:val="00EC2F88"/>
    <w:rsid w:val="00ED4817"/>
    <w:rsid w:val="00ED69D4"/>
    <w:rsid w:val="00F02203"/>
    <w:rsid w:val="00F30128"/>
    <w:rsid w:val="00F31B60"/>
    <w:rsid w:val="00F40E11"/>
    <w:rsid w:val="00F67307"/>
    <w:rsid w:val="00F77277"/>
    <w:rsid w:val="00F8220F"/>
    <w:rsid w:val="00F945B2"/>
    <w:rsid w:val="00F9660A"/>
    <w:rsid w:val="00F974E6"/>
    <w:rsid w:val="00FA11EB"/>
    <w:rsid w:val="00FB55BC"/>
    <w:rsid w:val="00FC4A4A"/>
    <w:rsid w:val="00FD37BF"/>
    <w:rsid w:val="00FD6E3D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5CE60"/>
  <w15:docId w15:val="{D8DF3D6B-15CB-48F9-9BED-23E737E9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4A5C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7F4A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iyi">
    <w:name w:val="viiyi"/>
    <w:rsid w:val="007F4A5C"/>
  </w:style>
  <w:style w:type="character" w:customStyle="1" w:styleId="jlqj4b">
    <w:name w:val="jlqj4b"/>
    <w:rsid w:val="007F4A5C"/>
  </w:style>
  <w:style w:type="paragraph" w:styleId="a5">
    <w:name w:val="List Paragraph"/>
    <w:basedOn w:val="a"/>
    <w:uiPriority w:val="34"/>
    <w:qFormat/>
    <w:rsid w:val="007F4A5C"/>
    <w:pPr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ody Text"/>
    <w:basedOn w:val="a"/>
    <w:link w:val="a7"/>
    <w:rsid w:val="007F4A5C"/>
    <w:pPr>
      <w:spacing w:after="120"/>
    </w:pPr>
  </w:style>
  <w:style w:type="character" w:customStyle="1" w:styleId="a7">
    <w:name w:val="Основний текст Знак"/>
    <w:basedOn w:val="a0"/>
    <w:link w:val="a6"/>
    <w:rsid w:val="007F4A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F4A5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F4A5C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paragraph" w:styleId="a8">
    <w:name w:val="No Spacing"/>
    <w:uiPriority w:val="99"/>
    <w:qFormat/>
    <w:rsid w:val="003145BE"/>
    <w:pPr>
      <w:spacing w:after="0" w:line="240" w:lineRule="auto"/>
    </w:pPr>
    <w:rPr>
      <w:lang w:val="ru-RU"/>
    </w:rPr>
  </w:style>
  <w:style w:type="character" w:styleId="a9">
    <w:name w:val="Hyperlink"/>
    <w:uiPriority w:val="99"/>
    <w:rsid w:val="00226D12"/>
    <w:rPr>
      <w:color w:val="0000FF"/>
      <w:u w:val="single"/>
    </w:rPr>
  </w:style>
  <w:style w:type="character" w:styleId="aa">
    <w:name w:val="Strong"/>
    <w:uiPriority w:val="22"/>
    <w:qFormat/>
    <w:rsid w:val="00226D12"/>
    <w:rPr>
      <w:b/>
      <w:bCs/>
    </w:rPr>
  </w:style>
  <w:style w:type="paragraph" w:styleId="ab">
    <w:name w:val="Normal (Web)"/>
    <w:basedOn w:val="a"/>
    <w:uiPriority w:val="99"/>
    <w:semiHidden/>
    <w:unhideWhenUsed/>
    <w:rsid w:val="001C198B"/>
    <w:pPr>
      <w:spacing w:before="100" w:beforeAutospacing="1" w:after="100" w:afterAutospacing="1"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D51E96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5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8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11252">
          <w:marLeft w:val="0"/>
          <w:marRight w:val="0"/>
          <w:marTop w:val="0"/>
          <w:marBottom w:val="0"/>
          <w:divBdr>
            <w:top w:val="single" w:sz="2" w:space="0" w:color="DADADA"/>
            <w:left w:val="single" w:sz="2" w:space="0" w:color="DADADA"/>
            <w:bottom w:val="single" w:sz="2" w:space="0" w:color="DADADA"/>
            <w:right w:val="single" w:sz="2" w:space="0" w:color="DADADA"/>
          </w:divBdr>
        </w:div>
      </w:divsChild>
    </w:div>
    <w:div w:id="1792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7707</Words>
  <Characters>4394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User</cp:lastModifiedBy>
  <cp:revision>7</cp:revision>
  <cp:lastPrinted>2023-12-18T08:39:00Z</cp:lastPrinted>
  <dcterms:created xsi:type="dcterms:W3CDTF">2023-12-18T06:41:00Z</dcterms:created>
  <dcterms:modified xsi:type="dcterms:W3CDTF">2023-12-20T11:31:00Z</dcterms:modified>
</cp:coreProperties>
</file>